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0" w:firstLineChars="200"/>
        <w:jc w:val="center"/>
        <w:rPr>
          <w:rFonts w:hint="eastAsia" w:ascii="微软雅黑" w:hAnsi="微软雅黑" w:eastAsia="微软雅黑" w:cs="微软雅黑"/>
          <w:b/>
          <w:bCs/>
          <w:sz w:val="30"/>
          <w:szCs w:val="30"/>
          <w:lang w:val="en-US" w:eastAsia="zh-CN"/>
        </w:rPr>
      </w:pPr>
      <w:r>
        <w:rPr>
          <w:rFonts w:hint="eastAsia" w:ascii="微软雅黑" w:hAnsi="微软雅黑" w:eastAsia="微软雅黑" w:cs="微软雅黑"/>
          <w:b/>
          <w:bCs/>
          <w:sz w:val="30"/>
          <w:szCs w:val="30"/>
          <w:lang w:val="en-US" w:eastAsia="zh-CN"/>
        </w:rPr>
        <w:t>上海中建东孚物业管理有限公司招聘简章</w:t>
      </w:r>
    </w:p>
    <w:p>
      <w:pPr>
        <w:spacing w:line="240" w:lineRule="auto"/>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一、企业简介</w:t>
      </w:r>
    </w:p>
    <w:p>
      <w:pPr>
        <w:spacing w:line="360" w:lineRule="auto"/>
        <w:ind w:firstLine="482" w:firstLineChars="200"/>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上海中建东孚物业管理有限公司</w:t>
      </w:r>
      <w:r>
        <w:rPr>
          <w:rFonts w:hint="eastAsia" w:ascii="仿宋" w:hAnsi="仿宋" w:eastAsia="仿宋" w:cs="仿宋"/>
          <w:b w:val="0"/>
          <w:bCs w:val="0"/>
          <w:sz w:val="24"/>
          <w:szCs w:val="32"/>
          <w:lang w:val="en-US" w:eastAsia="zh-CN"/>
        </w:rPr>
        <w:t>为中国建筑股份有限公司下属单位中国建筑第八工程局有限公司投资板块的中建东孚全资子公司旗下物业公司，成立于2010年10月，具有国家物业管理壹级资质。</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中建东孚物业借助中建系统内部优势资源，融汇现代物业服务的先进理念，运用创新性的思维不断探寻物业服务新模式，通过高品质物业服务提升业主居住的舒适度和物业附加值，致力于打造具有影响力的物业品牌。公司2014年取得国家物业管理壹级资质，2017年，通过国家质量、环境、职业健康安全三体系认证，在标准化的体系下，公司多个社区、商业项目分别获得上海、山东、西安、青岛等省市级示范项目荣誉称号。公司连续三年荣膺中国物业服务百强企业、中国物业管理品牌影响力企业，2018年，在中国物业管理企业综合实力100强排名中位列第59位，品牌价值50强排名中位列第36位，同年获评上海市物业服务综合能力五星企业。</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中建东孚物业延续中国建筑的血脉，孕育着中建八局的基因，以拓展幸福空间为理念，始终秉持中建“</w:t>
      </w:r>
      <w:r>
        <w:rPr>
          <w:rFonts w:hint="eastAsia" w:ascii="仿宋" w:hAnsi="仿宋" w:eastAsia="仿宋" w:cs="仿宋"/>
          <w:b/>
          <w:bCs/>
          <w:sz w:val="24"/>
          <w:szCs w:val="32"/>
          <w:lang w:val="en-US" w:eastAsia="zh-CN"/>
        </w:rPr>
        <w:t>诚信、创新、超越、共赢</w:t>
      </w:r>
      <w:r>
        <w:rPr>
          <w:rFonts w:hint="eastAsia" w:ascii="仿宋" w:hAnsi="仿宋" w:eastAsia="仿宋" w:cs="仿宋"/>
          <w:sz w:val="24"/>
          <w:szCs w:val="32"/>
          <w:lang w:val="en-US" w:eastAsia="zh-CN"/>
        </w:rPr>
        <w:t>”的企业精神，恪守“</w:t>
      </w:r>
      <w:r>
        <w:rPr>
          <w:rFonts w:hint="eastAsia" w:ascii="仿宋" w:hAnsi="仿宋" w:eastAsia="仿宋" w:cs="仿宋"/>
          <w:b/>
          <w:bCs/>
          <w:sz w:val="24"/>
          <w:szCs w:val="32"/>
          <w:lang w:val="en-US" w:eastAsia="zh-CN"/>
        </w:rPr>
        <w:t>品质保障、价值创造</w:t>
      </w:r>
      <w:r>
        <w:rPr>
          <w:rFonts w:hint="eastAsia" w:ascii="仿宋" w:hAnsi="仿宋" w:eastAsia="仿宋" w:cs="仿宋"/>
          <w:sz w:val="24"/>
          <w:szCs w:val="32"/>
          <w:lang w:val="en-US" w:eastAsia="zh-CN"/>
        </w:rPr>
        <w:t>”的中建价值观，坚持“</w:t>
      </w:r>
      <w:r>
        <w:rPr>
          <w:rFonts w:hint="eastAsia" w:ascii="仿宋" w:hAnsi="仿宋" w:eastAsia="仿宋" w:cs="仿宋"/>
          <w:b/>
          <w:bCs/>
          <w:sz w:val="24"/>
          <w:szCs w:val="32"/>
          <w:lang w:val="en-US" w:eastAsia="zh-CN"/>
        </w:rPr>
        <w:t>精致服务，至诚永远</w:t>
      </w:r>
      <w:r>
        <w:rPr>
          <w:rFonts w:hint="eastAsia" w:ascii="仿宋" w:hAnsi="仿宋" w:eastAsia="仿宋" w:cs="仿宋"/>
          <w:sz w:val="24"/>
          <w:szCs w:val="32"/>
          <w:lang w:val="en-US" w:eastAsia="zh-CN"/>
        </w:rPr>
        <w:t>”的服务理念，奉行“</w:t>
      </w:r>
      <w:r>
        <w:rPr>
          <w:rFonts w:hint="eastAsia" w:ascii="仿宋" w:hAnsi="仿宋" w:eastAsia="仿宋" w:cs="仿宋"/>
          <w:b/>
          <w:bCs/>
          <w:sz w:val="24"/>
          <w:szCs w:val="32"/>
          <w:lang w:val="en-US" w:eastAsia="zh-CN"/>
        </w:rPr>
        <w:t>服务城市发展，成就美好生活</w:t>
      </w:r>
      <w:r>
        <w:rPr>
          <w:rFonts w:hint="eastAsia" w:ascii="仿宋" w:hAnsi="仿宋" w:eastAsia="仿宋" w:cs="仿宋"/>
          <w:sz w:val="24"/>
          <w:szCs w:val="32"/>
          <w:lang w:val="en-US" w:eastAsia="zh-CN"/>
        </w:rPr>
        <w:t>”企业使命，始终履行中建八局铁军文化和中建东孚同行文化，运用创新性的思维不断探寻物业服务新模式，致力于提升服务品质，让客户享受到生活更舒适、更安全、更便利的物业服务。</w:t>
      </w:r>
    </w:p>
    <w:p>
      <w:pPr>
        <w:numPr>
          <w:ilvl w:val="0"/>
          <w:numId w:val="1"/>
        </w:numPr>
        <w:rPr>
          <w:rFonts w:hint="eastAsia" w:ascii="仿宋" w:hAnsi="仿宋" w:eastAsia="仿宋" w:cs="仿宋"/>
          <w:sz w:val="24"/>
          <w:szCs w:val="32"/>
          <w:lang w:val="en-US" w:eastAsia="zh-CN"/>
        </w:rPr>
      </w:pPr>
      <w:r>
        <w:rPr>
          <w:rFonts w:hint="eastAsia" w:ascii="仿宋" w:hAnsi="仿宋" w:eastAsia="仿宋" w:cs="仿宋"/>
          <w:b/>
          <w:bCs/>
          <w:sz w:val="28"/>
          <w:szCs w:val="36"/>
          <w:lang w:val="en-US" w:eastAsia="zh-CN"/>
        </w:rPr>
        <w:t>公司项目</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outlineLvl w:val="9"/>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上海</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东方万国、中建广场、中建·锦绣广场</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中建·公元壹号、中建·锦秀名都</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中建·青浦崧泽华城、民乐大居</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outlineLvl w:val="9"/>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济南</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中建·文化广场、中建·锦绣广场</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中建·文化城、中建·凤牺第、中建·锦绣城、中建·新悦城</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中建·国熙台、中建·锦绣兰庭、中建·锦绣首府</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outlineLvl w:val="9"/>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青岛</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中建·尚溪地、中建·锦绣城、中建·锦绣华府</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outlineLvl w:val="9"/>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西安</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中建·昆明澜庭、中建·开元城、中建·国熙台</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outlineLvl w:val="9"/>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南京</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中建·国熙台</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outlineLvl w:val="9"/>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泰州</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中建·锦绣珑湾</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outlineLvl w:val="9"/>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新型城镇化项目</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上海重固——上海之源 · 文心重固</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南京鼓楼——全国旧城更新典范</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南京永宁——山河永秀 · 田园宁馨</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青岛胶州——空港小镇 · 生态新城</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河北丰宁——京北秘境 · 塞上明珠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西安雁塔——科技创新产业孵化器</w:t>
      </w:r>
    </w:p>
    <w:p>
      <w:pPr>
        <w:numPr>
          <w:ilvl w:val="0"/>
          <w:numId w:val="1"/>
        </w:numPr>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岗位专业需求</w:t>
      </w:r>
    </w:p>
    <w:tbl>
      <w:tblPr>
        <w:tblStyle w:val="5"/>
        <w:tblW w:w="8215" w:type="dxa"/>
        <w:jc w:val="center"/>
        <w:tblInd w:w="-1174" w:type="dxa"/>
        <w:tblBorders>
          <w:top w:val="single" w:color="C0504D" w:sz="8" w:space="0"/>
          <w:left w:val="none" w:color="auto" w:sz="0" w:space="0"/>
          <w:bottom w:val="single" w:color="C0504D" w:sz="8" w:space="0"/>
          <w:right w:val="none" w:color="auto" w:sz="0" w:space="0"/>
          <w:insideH w:val="single" w:color="C0504D" w:sz="8" w:space="0"/>
          <w:insideV w:val="none" w:color="auto" w:sz="0" w:space="0"/>
        </w:tblBorders>
        <w:tblLayout w:type="fixed"/>
        <w:tblCellMar>
          <w:top w:w="0" w:type="dxa"/>
          <w:left w:w="108" w:type="dxa"/>
          <w:bottom w:w="0" w:type="dxa"/>
          <w:right w:w="108" w:type="dxa"/>
        </w:tblCellMar>
      </w:tblPr>
      <w:tblGrid>
        <w:gridCol w:w="3100"/>
        <w:gridCol w:w="5115"/>
      </w:tblGrid>
      <w:tr>
        <w:tblPrEx>
          <w:tblBorders>
            <w:top w:val="single" w:color="C0504D" w:sz="8" w:space="0"/>
            <w:left w:val="none" w:color="auto" w:sz="0" w:space="0"/>
            <w:bottom w:val="single" w:color="C0504D" w:sz="8" w:space="0"/>
            <w:right w:val="none" w:color="auto" w:sz="0" w:space="0"/>
            <w:insideH w:val="single" w:color="C0504D" w:sz="8" w:space="0"/>
            <w:insideV w:val="none" w:color="auto" w:sz="0" w:space="0"/>
          </w:tblBorders>
          <w:tblLayout w:type="fixed"/>
          <w:tblCellMar>
            <w:top w:w="0" w:type="dxa"/>
            <w:left w:w="108" w:type="dxa"/>
            <w:bottom w:w="0" w:type="dxa"/>
            <w:right w:w="108" w:type="dxa"/>
          </w:tblCellMar>
        </w:tblPrEx>
        <w:trPr>
          <w:trHeight w:val="283" w:hRule="atLeast"/>
          <w:jc w:val="center"/>
        </w:trPr>
        <w:tc>
          <w:tcPr>
            <w:tcW w:w="3100" w:type="dxa"/>
            <w:tcBorders>
              <w:tl2br w:val="nil"/>
              <w:tr2bl w:val="nil"/>
            </w:tcBorders>
            <w:shd w:val="clear" w:color="auto" w:fill="FFFFFF"/>
            <w:vAlign w:val="top"/>
          </w:tcPr>
          <w:p>
            <w:pPr>
              <w:numPr>
                <w:ilvl w:val="0"/>
                <w:numId w:val="0"/>
              </w:numPr>
              <w:jc w:val="center"/>
              <w:rPr>
                <w:rFonts w:hint="eastAsia" w:ascii="微软雅黑" w:hAnsi="微软雅黑" w:eastAsia="微软雅黑" w:cs="微软雅黑"/>
                <w:b/>
                <w:bCs/>
                <w:color w:val="000000"/>
                <w:sz w:val="24"/>
                <w:szCs w:val="32"/>
                <w:vertAlign w:val="baseline"/>
                <w:lang w:val="en-US" w:eastAsia="zh-CN"/>
              </w:rPr>
            </w:pPr>
            <w:r>
              <w:rPr>
                <w:rFonts w:hint="eastAsia" w:ascii="微软雅黑" w:hAnsi="微软雅黑" w:eastAsia="微软雅黑" w:cs="微软雅黑"/>
                <w:b/>
                <w:bCs/>
                <w:color w:val="000000"/>
                <w:sz w:val="24"/>
                <w:szCs w:val="32"/>
                <w:vertAlign w:val="baseline"/>
                <w:lang w:val="en-US" w:eastAsia="zh-CN"/>
              </w:rPr>
              <w:t>岗位需求</w:t>
            </w:r>
          </w:p>
        </w:tc>
        <w:tc>
          <w:tcPr>
            <w:tcW w:w="5115" w:type="dxa"/>
            <w:tcBorders>
              <w:tl2br w:val="nil"/>
              <w:tr2bl w:val="nil"/>
            </w:tcBorders>
            <w:shd w:val="clear" w:color="auto" w:fill="FFFFFF"/>
            <w:vAlign w:val="top"/>
          </w:tcPr>
          <w:p>
            <w:pPr>
              <w:numPr>
                <w:ilvl w:val="0"/>
                <w:numId w:val="0"/>
              </w:numPr>
              <w:jc w:val="center"/>
              <w:rPr>
                <w:rFonts w:hint="eastAsia" w:ascii="微软雅黑" w:hAnsi="微软雅黑" w:eastAsia="微软雅黑" w:cs="微软雅黑"/>
                <w:b/>
                <w:bCs/>
                <w:color w:val="000000"/>
                <w:sz w:val="24"/>
                <w:szCs w:val="32"/>
                <w:vertAlign w:val="baseline"/>
                <w:lang w:val="en-US" w:eastAsia="zh-CN"/>
              </w:rPr>
            </w:pPr>
            <w:r>
              <w:rPr>
                <w:rFonts w:hint="eastAsia" w:ascii="微软雅黑" w:hAnsi="微软雅黑" w:eastAsia="微软雅黑" w:cs="微软雅黑"/>
                <w:b/>
                <w:bCs/>
                <w:color w:val="000000"/>
                <w:sz w:val="24"/>
                <w:szCs w:val="32"/>
                <w:vertAlign w:val="baseline"/>
                <w:lang w:val="en-US" w:eastAsia="zh-CN"/>
              </w:rPr>
              <w:t>专业需求</w:t>
            </w:r>
          </w:p>
        </w:tc>
      </w:tr>
      <w:tr>
        <w:tblPrEx>
          <w:tblBorders>
            <w:top w:val="single" w:color="C0504D" w:sz="8" w:space="0"/>
            <w:left w:val="none" w:color="auto" w:sz="0" w:space="0"/>
            <w:bottom w:val="single" w:color="C0504D" w:sz="8" w:space="0"/>
            <w:right w:val="none" w:color="auto" w:sz="0" w:space="0"/>
            <w:insideH w:val="single" w:color="C0504D" w:sz="8" w:space="0"/>
            <w:insideV w:val="none" w:color="auto" w:sz="0" w:space="0"/>
          </w:tblBorders>
          <w:tblLayout w:type="fixed"/>
          <w:tblCellMar>
            <w:top w:w="0" w:type="dxa"/>
            <w:left w:w="108" w:type="dxa"/>
            <w:bottom w:w="0" w:type="dxa"/>
            <w:right w:w="108" w:type="dxa"/>
          </w:tblCellMar>
        </w:tblPrEx>
        <w:trPr>
          <w:trHeight w:val="464" w:hRule="atLeast"/>
          <w:jc w:val="center"/>
        </w:trPr>
        <w:tc>
          <w:tcPr>
            <w:tcW w:w="3100" w:type="dxa"/>
            <w:tcBorders>
              <w:tl2br w:val="nil"/>
              <w:tr2bl w:val="nil"/>
            </w:tcBorders>
            <w:shd w:val="clear" w:color="auto" w:fill="F2DCDB"/>
            <w:vAlign w:val="top"/>
          </w:tcPr>
          <w:p>
            <w:pPr>
              <w:numPr>
                <w:ilvl w:val="0"/>
                <w:numId w:val="0"/>
              </w:numPr>
              <w:jc w:val="center"/>
              <w:rPr>
                <w:rFonts w:hint="eastAsia" w:ascii="微软雅黑" w:hAnsi="微软雅黑" w:eastAsia="微软雅黑" w:cs="微软雅黑"/>
                <w:color w:val="000000"/>
                <w:sz w:val="24"/>
                <w:szCs w:val="32"/>
                <w:vertAlign w:val="baseline"/>
                <w:lang w:val="en-US" w:eastAsia="zh-CN"/>
              </w:rPr>
            </w:pPr>
            <w:r>
              <w:rPr>
                <w:rFonts w:hint="eastAsia" w:ascii="微软雅黑" w:hAnsi="微软雅黑" w:eastAsia="微软雅黑" w:cs="微软雅黑"/>
                <w:color w:val="000000"/>
                <w:sz w:val="24"/>
                <w:szCs w:val="32"/>
                <w:vertAlign w:val="baseline"/>
                <w:lang w:val="en-US" w:eastAsia="zh-CN"/>
              </w:rPr>
              <w:t>人力资源</w:t>
            </w:r>
          </w:p>
        </w:tc>
        <w:tc>
          <w:tcPr>
            <w:tcW w:w="5115" w:type="dxa"/>
            <w:tcBorders>
              <w:tl2br w:val="nil"/>
              <w:tr2bl w:val="nil"/>
            </w:tcBorders>
            <w:shd w:val="clear" w:color="auto" w:fill="F2DCDB"/>
            <w:vAlign w:val="top"/>
          </w:tcPr>
          <w:p>
            <w:pPr>
              <w:numPr>
                <w:ilvl w:val="0"/>
                <w:numId w:val="0"/>
              </w:numPr>
              <w:ind w:left="0" w:leftChars="0" w:firstLine="0" w:firstLineChars="0"/>
              <w:jc w:val="center"/>
              <w:rPr>
                <w:rFonts w:hint="eastAsia" w:ascii="微软雅黑" w:hAnsi="微软雅黑" w:eastAsia="微软雅黑" w:cs="微软雅黑"/>
                <w:color w:val="000000"/>
                <w:sz w:val="24"/>
                <w:szCs w:val="32"/>
                <w:vertAlign w:val="baseline"/>
                <w:lang w:val="en-US" w:eastAsia="zh-CN"/>
              </w:rPr>
            </w:pPr>
            <w:r>
              <w:rPr>
                <w:rFonts w:hint="eastAsia" w:ascii="微软雅黑" w:hAnsi="微软雅黑" w:eastAsia="微软雅黑" w:cs="微软雅黑"/>
                <w:color w:val="000000"/>
                <w:sz w:val="24"/>
                <w:szCs w:val="32"/>
                <w:vertAlign w:val="baseline"/>
                <w:lang w:val="en-US" w:eastAsia="zh-CN"/>
              </w:rPr>
              <w:t>人力资源管理、工商管理、公共管理类</w:t>
            </w:r>
          </w:p>
        </w:tc>
      </w:tr>
      <w:tr>
        <w:tblPrEx>
          <w:tblBorders>
            <w:top w:val="single" w:color="C0504D" w:sz="8" w:space="0"/>
            <w:left w:val="none" w:color="auto" w:sz="0" w:space="0"/>
            <w:bottom w:val="single" w:color="C0504D" w:sz="8" w:space="0"/>
            <w:right w:val="none" w:color="auto" w:sz="0" w:space="0"/>
            <w:insideH w:val="single" w:color="C0504D" w:sz="8" w:space="0"/>
            <w:insideV w:val="none" w:color="auto" w:sz="0" w:space="0"/>
          </w:tblBorders>
          <w:tblLayout w:type="fixed"/>
          <w:tblCellMar>
            <w:top w:w="0" w:type="dxa"/>
            <w:left w:w="108" w:type="dxa"/>
            <w:bottom w:w="0" w:type="dxa"/>
            <w:right w:w="108" w:type="dxa"/>
          </w:tblCellMar>
        </w:tblPrEx>
        <w:trPr>
          <w:trHeight w:val="283" w:hRule="atLeast"/>
          <w:jc w:val="center"/>
        </w:trPr>
        <w:tc>
          <w:tcPr>
            <w:tcW w:w="3100" w:type="dxa"/>
            <w:tcBorders>
              <w:tl2br w:val="nil"/>
              <w:tr2bl w:val="nil"/>
            </w:tcBorders>
            <w:shd w:val="clear" w:color="auto" w:fill="FFFFFF"/>
            <w:vAlign w:val="top"/>
          </w:tcPr>
          <w:p>
            <w:pPr>
              <w:numPr>
                <w:ilvl w:val="0"/>
                <w:numId w:val="0"/>
              </w:numPr>
              <w:ind w:left="0" w:leftChars="0" w:firstLine="0" w:firstLineChars="0"/>
              <w:jc w:val="center"/>
              <w:rPr>
                <w:rFonts w:hint="eastAsia" w:ascii="微软雅黑" w:hAnsi="微软雅黑" w:eastAsia="微软雅黑" w:cs="微软雅黑"/>
                <w:color w:val="000000"/>
                <w:sz w:val="24"/>
                <w:szCs w:val="32"/>
                <w:vertAlign w:val="baseline"/>
                <w:lang w:val="en-US" w:eastAsia="zh-CN"/>
              </w:rPr>
            </w:pPr>
            <w:r>
              <w:rPr>
                <w:rFonts w:hint="eastAsia" w:ascii="微软雅黑" w:hAnsi="微软雅黑" w:eastAsia="微软雅黑" w:cs="微软雅黑"/>
                <w:color w:val="000000"/>
                <w:sz w:val="24"/>
                <w:szCs w:val="32"/>
                <w:vertAlign w:val="baseline"/>
                <w:lang w:val="en-US" w:eastAsia="zh-CN"/>
              </w:rPr>
              <w:t>法务合约</w:t>
            </w:r>
          </w:p>
        </w:tc>
        <w:tc>
          <w:tcPr>
            <w:tcW w:w="5115" w:type="dxa"/>
            <w:tcBorders>
              <w:tl2br w:val="nil"/>
              <w:tr2bl w:val="nil"/>
            </w:tcBorders>
            <w:shd w:val="clear" w:color="auto" w:fill="FFFFFF"/>
            <w:vAlign w:val="top"/>
          </w:tcPr>
          <w:p>
            <w:pPr>
              <w:numPr>
                <w:ilvl w:val="0"/>
                <w:numId w:val="0"/>
              </w:numPr>
              <w:ind w:left="0" w:leftChars="0" w:firstLine="0" w:firstLineChars="0"/>
              <w:jc w:val="center"/>
              <w:rPr>
                <w:rFonts w:hint="eastAsia" w:ascii="微软雅黑" w:hAnsi="微软雅黑" w:eastAsia="微软雅黑" w:cs="微软雅黑"/>
                <w:color w:val="000000"/>
                <w:sz w:val="24"/>
                <w:szCs w:val="32"/>
                <w:vertAlign w:val="baseline"/>
                <w:lang w:val="en-US" w:eastAsia="zh-CN"/>
              </w:rPr>
            </w:pPr>
            <w:r>
              <w:rPr>
                <w:rFonts w:hint="eastAsia" w:ascii="微软雅黑" w:hAnsi="微软雅黑" w:eastAsia="微软雅黑" w:cs="微软雅黑"/>
                <w:color w:val="000000"/>
                <w:sz w:val="24"/>
                <w:szCs w:val="32"/>
                <w:vertAlign w:val="baseline"/>
                <w:lang w:val="en-US" w:eastAsia="zh-CN"/>
              </w:rPr>
              <w:t>法学类</w:t>
            </w:r>
          </w:p>
        </w:tc>
      </w:tr>
      <w:tr>
        <w:tblPrEx>
          <w:tblBorders>
            <w:top w:val="single" w:color="C0504D" w:sz="8" w:space="0"/>
            <w:left w:val="none" w:color="auto" w:sz="0" w:space="0"/>
            <w:bottom w:val="single" w:color="C0504D" w:sz="8" w:space="0"/>
            <w:right w:val="none" w:color="auto" w:sz="0" w:space="0"/>
            <w:insideH w:val="single" w:color="C0504D" w:sz="8" w:space="0"/>
            <w:insideV w:val="none" w:color="auto" w:sz="0" w:space="0"/>
          </w:tblBorders>
          <w:tblLayout w:type="fixed"/>
          <w:tblCellMar>
            <w:top w:w="0" w:type="dxa"/>
            <w:left w:w="108" w:type="dxa"/>
            <w:bottom w:w="0" w:type="dxa"/>
            <w:right w:w="108" w:type="dxa"/>
          </w:tblCellMar>
        </w:tblPrEx>
        <w:trPr>
          <w:trHeight w:val="283" w:hRule="atLeast"/>
          <w:jc w:val="center"/>
        </w:trPr>
        <w:tc>
          <w:tcPr>
            <w:tcW w:w="3100" w:type="dxa"/>
            <w:tcBorders>
              <w:tl2br w:val="nil"/>
              <w:tr2bl w:val="nil"/>
            </w:tcBorders>
            <w:shd w:val="clear" w:color="auto" w:fill="F2DCDB"/>
            <w:vAlign w:val="top"/>
          </w:tcPr>
          <w:p>
            <w:pPr>
              <w:numPr>
                <w:ilvl w:val="0"/>
                <w:numId w:val="0"/>
              </w:numPr>
              <w:ind w:left="0" w:leftChars="0" w:firstLine="0" w:firstLineChars="0"/>
              <w:jc w:val="center"/>
              <w:rPr>
                <w:rFonts w:hint="eastAsia" w:ascii="微软雅黑" w:hAnsi="微软雅黑" w:eastAsia="微软雅黑" w:cs="微软雅黑"/>
                <w:color w:val="000000"/>
                <w:sz w:val="24"/>
                <w:szCs w:val="32"/>
                <w:vertAlign w:val="baseline"/>
                <w:lang w:val="en-US" w:eastAsia="zh-CN"/>
              </w:rPr>
            </w:pPr>
            <w:r>
              <w:rPr>
                <w:rFonts w:hint="eastAsia" w:ascii="微软雅黑" w:hAnsi="微软雅黑" w:eastAsia="微软雅黑" w:cs="微软雅黑"/>
                <w:color w:val="000000"/>
                <w:sz w:val="24"/>
                <w:szCs w:val="32"/>
                <w:vertAlign w:val="baseline"/>
                <w:lang w:val="en-US" w:eastAsia="zh-CN"/>
              </w:rPr>
              <w:t>财务资金</w:t>
            </w:r>
          </w:p>
        </w:tc>
        <w:tc>
          <w:tcPr>
            <w:tcW w:w="5115" w:type="dxa"/>
            <w:tcBorders>
              <w:tl2br w:val="nil"/>
              <w:tr2bl w:val="nil"/>
            </w:tcBorders>
            <w:shd w:val="clear" w:color="auto" w:fill="F2DCDB"/>
            <w:vAlign w:val="top"/>
          </w:tcPr>
          <w:p>
            <w:pPr>
              <w:numPr>
                <w:ilvl w:val="0"/>
                <w:numId w:val="0"/>
              </w:numPr>
              <w:ind w:left="0" w:leftChars="0" w:firstLine="0" w:firstLineChars="0"/>
              <w:jc w:val="center"/>
              <w:rPr>
                <w:rFonts w:hint="eastAsia" w:ascii="微软雅黑" w:hAnsi="微软雅黑" w:eastAsia="微软雅黑" w:cs="微软雅黑"/>
                <w:color w:val="000000"/>
                <w:sz w:val="24"/>
                <w:szCs w:val="32"/>
                <w:vertAlign w:val="baseline"/>
                <w:lang w:val="en-US" w:eastAsia="zh-CN"/>
              </w:rPr>
            </w:pPr>
            <w:r>
              <w:rPr>
                <w:rFonts w:hint="eastAsia" w:ascii="微软雅黑" w:hAnsi="微软雅黑" w:eastAsia="微软雅黑" w:cs="微软雅黑"/>
                <w:color w:val="000000"/>
                <w:sz w:val="24"/>
                <w:szCs w:val="32"/>
                <w:vertAlign w:val="baseline"/>
                <w:lang w:val="en-US" w:eastAsia="zh-CN"/>
              </w:rPr>
              <w:t>会计学、财务管理类</w:t>
            </w:r>
          </w:p>
        </w:tc>
      </w:tr>
      <w:tr>
        <w:tblPrEx>
          <w:tblBorders>
            <w:top w:val="single" w:color="C0504D" w:sz="8" w:space="0"/>
            <w:left w:val="none" w:color="auto" w:sz="0" w:space="0"/>
            <w:bottom w:val="single" w:color="C0504D" w:sz="8" w:space="0"/>
            <w:right w:val="none" w:color="auto" w:sz="0" w:space="0"/>
            <w:insideH w:val="single" w:color="C0504D" w:sz="8" w:space="0"/>
            <w:insideV w:val="none" w:color="auto" w:sz="0" w:space="0"/>
          </w:tblBorders>
          <w:tblLayout w:type="fixed"/>
          <w:tblCellMar>
            <w:top w:w="0" w:type="dxa"/>
            <w:left w:w="108" w:type="dxa"/>
            <w:bottom w:w="0" w:type="dxa"/>
            <w:right w:w="108" w:type="dxa"/>
          </w:tblCellMar>
        </w:tblPrEx>
        <w:trPr>
          <w:trHeight w:val="1238" w:hRule="atLeast"/>
          <w:jc w:val="center"/>
        </w:trPr>
        <w:tc>
          <w:tcPr>
            <w:tcW w:w="3100" w:type="dxa"/>
            <w:tcBorders>
              <w:tl2br w:val="nil"/>
              <w:tr2bl w:val="nil"/>
            </w:tcBorders>
            <w:shd w:val="clear" w:color="auto" w:fill="FFFFFF"/>
            <w:vAlign w:val="center"/>
          </w:tcPr>
          <w:p>
            <w:pPr>
              <w:numPr>
                <w:ilvl w:val="0"/>
                <w:numId w:val="0"/>
              </w:numPr>
              <w:ind w:left="0" w:leftChars="0" w:firstLine="0" w:firstLineChars="0"/>
              <w:jc w:val="center"/>
              <w:rPr>
                <w:rFonts w:hint="eastAsia" w:ascii="微软雅黑" w:hAnsi="微软雅黑" w:eastAsia="微软雅黑" w:cs="微软雅黑"/>
                <w:color w:val="000000"/>
                <w:sz w:val="24"/>
                <w:szCs w:val="32"/>
                <w:vertAlign w:val="baseline"/>
                <w:lang w:val="en-US" w:eastAsia="zh-CN"/>
              </w:rPr>
            </w:pPr>
            <w:r>
              <w:rPr>
                <w:rFonts w:hint="eastAsia" w:ascii="微软雅黑" w:hAnsi="微软雅黑" w:eastAsia="微软雅黑" w:cs="微软雅黑"/>
                <w:color w:val="000000"/>
                <w:sz w:val="24"/>
                <w:szCs w:val="32"/>
                <w:vertAlign w:val="baseline"/>
                <w:lang w:val="en-US" w:eastAsia="zh-CN"/>
              </w:rPr>
              <w:t>专业技术/储备项目经理</w:t>
            </w:r>
          </w:p>
        </w:tc>
        <w:tc>
          <w:tcPr>
            <w:tcW w:w="5115" w:type="dxa"/>
            <w:tcBorders>
              <w:tl2br w:val="nil"/>
              <w:tr2bl w:val="nil"/>
            </w:tcBorders>
            <w:shd w:val="clear" w:color="auto" w:fill="FFFFFF"/>
            <w:vAlign w:val="top"/>
          </w:tcPr>
          <w:p>
            <w:pPr>
              <w:numPr>
                <w:ilvl w:val="0"/>
                <w:numId w:val="0"/>
              </w:numPr>
              <w:ind w:left="0" w:leftChars="0" w:firstLine="0" w:firstLineChars="0"/>
              <w:jc w:val="center"/>
              <w:rPr>
                <w:rFonts w:hint="eastAsia" w:ascii="微软雅黑" w:hAnsi="微软雅黑" w:eastAsia="微软雅黑" w:cs="微软雅黑"/>
                <w:color w:val="000000"/>
                <w:sz w:val="28"/>
                <w:szCs w:val="36"/>
                <w:vertAlign w:val="baseline"/>
                <w:lang w:val="en-US" w:eastAsia="zh-CN"/>
              </w:rPr>
            </w:pPr>
            <w:r>
              <w:rPr>
                <w:rFonts w:hint="eastAsia" w:ascii="微软雅黑" w:hAnsi="微软雅黑" w:eastAsia="微软雅黑" w:cs="微软雅黑"/>
                <w:color w:val="000000"/>
                <w:sz w:val="24"/>
                <w:szCs w:val="32"/>
                <w:vertAlign w:val="baseline"/>
                <w:lang w:val="en-US" w:eastAsia="zh-CN"/>
              </w:rPr>
              <w:t>给排水工程、暖通工程、机电类、物业管理、旅游管理、酒店管理、公共管理类</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outlineLvl w:val="9"/>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备注：</w:t>
      </w:r>
    </w:p>
    <w:p>
      <w:pPr>
        <w:keepNext w:val="0"/>
        <w:keepLines w:val="0"/>
        <w:pageBreakBefore w:val="0"/>
        <w:widowControl w:val="0"/>
        <w:numPr>
          <w:ilvl w:val="0"/>
          <w:numId w:val="2"/>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形象、言谈举止良好，愿与企业共同成长；</w:t>
      </w:r>
    </w:p>
    <w:p>
      <w:pPr>
        <w:keepNext w:val="0"/>
        <w:keepLines w:val="0"/>
        <w:pageBreakBefore w:val="0"/>
        <w:widowControl w:val="0"/>
        <w:numPr>
          <w:ilvl w:val="0"/>
          <w:numId w:val="2"/>
        </w:numPr>
        <w:kinsoku/>
        <w:wordWrap/>
        <w:overflowPunct/>
        <w:topLinePunct w:val="0"/>
        <w:autoSpaceDE/>
        <w:autoSpaceDN/>
        <w:bidi w:val="0"/>
        <w:adjustRightInd/>
        <w:snapToGrid/>
        <w:ind w:firstLine="480"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院校学生会、班级干部，中共党员，有文体特长者优先录用。</w:t>
      </w:r>
    </w:p>
    <w:p>
      <w:pPr>
        <w:numPr>
          <w:ilvl w:val="0"/>
          <w:numId w:val="0"/>
        </w:numPr>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四、福利待遇</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textAlignment w:val="auto"/>
        <w:outlineLvl w:val="9"/>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薪资:</w:t>
      </w:r>
      <w:r>
        <w:rPr>
          <w:rFonts w:hint="eastAsia" w:ascii="仿宋" w:hAnsi="仿宋" w:eastAsia="仿宋" w:cs="仿宋"/>
          <w:sz w:val="24"/>
          <w:szCs w:val="32"/>
          <w:lang w:val="en-US" w:eastAsia="zh-CN"/>
        </w:rPr>
        <w:t>固定工资+绩效工资+福利津贴</w:t>
      </w:r>
    </w:p>
    <w:p>
      <w:pPr>
        <w:keepNext w:val="0"/>
        <w:keepLines w:val="0"/>
        <w:pageBreakBefore w:val="0"/>
        <w:widowControl w:val="0"/>
        <w:numPr>
          <w:ilvl w:val="0"/>
          <w:numId w:val="0"/>
        </w:numPr>
        <w:kinsoku/>
        <w:wordWrap/>
        <w:overflowPunct/>
        <w:topLinePunct w:val="0"/>
        <w:autoSpaceDE/>
        <w:autoSpaceDN/>
        <w:bidi w:val="0"/>
        <w:adjustRightInd/>
        <w:snapToGrid/>
        <w:ind w:left="479" w:leftChars="228" w:firstLine="0" w:firstLineChars="0"/>
        <w:textAlignment w:val="auto"/>
        <w:outlineLvl w:val="9"/>
        <w:rPr>
          <w:rFonts w:hint="eastAsia" w:ascii="仿宋" w:hAnsi="仿宋" w:eastAsia="仿宋" w:cs="仿宋"/>
          <w:b/>
          <w:bCs/>
          <w:sz w:val="28"/>
          <w:szCs w:val="36"/>
          <w:lang w:val="en-US" w:eastAsia="zh-CN"/>
        </w:rPr>
      </w:pPr>
      <w:r>
        <w:rPr>
          <w:rFonts w:hint="eastAsia" w:ascii="仿宋" w:hAnsi="仿宋" w:eastAsia="仿宋" w:cs="仿宋"/>
          <w:b/>
          <w:bCs/>
          <w:sz w:val="24"/>
          <w:szCs w:val="32"/>
          <w:lang w:val="en-US" w:eastAsia="zh-CN"/>
        </w:rPr>
        <w:t>福利:</w:t>
      </w:r>
      <w:r>
        <w:rPr>
          <w:rFonts w:hint="eastAsia" w:ascii="仿宋" w:hAnsi="仿宋" w:eastAsia="仿宋" w:cs="仿宋"/>
          <w:sz w:val="24"/>
          <w:szCs w:val="32"/>
          <w:lang w:val="en-US" w:eastAsia="zh-CN"/>
        </w:rPr>
        <w:t>五险一金、商业保险、高温津贴、劳保用品、节日福利、年度体检、拓展活动、工会福利</w:t>
      </w:r>
    </w:p>
    <w:p>
      <w:pPr>
        <w:widowControl w:val="0"/>
        <w:numPr>
          <w:ilvl w:val="0"/>
          <w:numId w:val="0"/>
        </w:numPr>
        <w:jc w:val="both"/>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五、员工发展</w:t>
      </w:r>
    </w:p>
    <w:p>
      <w:pPr>
        <w:keepNext w:val="0"/>
        <w:keepLines w:val="0"/>
        <w:pageBreakBefore w:val="0"/>
        <w:widowControl w:val="0"/>
        <w:numPr>
          <w:ilvl w:val="0"/>
          <w:numId w:val="0"/>
        </w:numPr>
        <w:kinsoku/>
        <w:wordWrap/>
        <w:overflowPunct/>
        <w:topLinePunct w:val="0"/>
        <w:autoSpaceDE/>
        <w:autoSpaceDN/>
        <w:bidi w:val="0"/>
        <w:adjustRightInd/>
        <w:snapToGrid/>
        <w:ind w:left="479" w:leftChars="228" w:firstLine="0" w:firstLineChars="0"/>
        <w:jc w:val="both"/>
        <w:textAlignment w:val="auto"/>
        <w:outlineLvl w:val="9"/>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职业发展：</w:t>
      </w:r>
      <w:r>
        <w:rPr>
          <w:rFonts w:hint="eastAsia" w:ascii="仿宋" w:hAnsi="仿宋" w:eastAsia="仿宋" w:cs="仿宋"/>
          <w:sz w:val="24"/>
          <w:szCs w:val="32"/>
          <w:lang w:val="en-US" w:eastAsia="zh-CN"/>
        </w:rPr>
        <w:t>中建东孚物业具有完备的任职资格标准，为全体员工提供专业、管理两条发展路径协助员工根据自身特点设计个人职业生涯规划。</w:t>
      </w:r>
    </w:p>
    <w:p>
      <w:pPr>
        <w:keepNext w:val="0"/>
        <w:keepLines w:val="0"/>
        <w:pageBreakBefore w:val="0"/>
        <w:widowControl w:val="0"/>
        <w:numPr>
          <w:ilvl w:val="0"/>
          <w:numId w:val="0"/>
        </w:numPr>
        <w:kinsoku/>
        <w:wordWrap/>
        <w:overflowPunct/>
        <w:topLinePunct w:val="0"/>
        <w:autoSpaceDE/>
        <w:autoSpaceDN/>
        <w:bidi w:val="0"/>
        <w:adjustRightInd/>
        <w:snapToGrid/>
        <w:ind w:left="479" w:leftChars="228" w:firstLine="0" w:firstLineChars="0"/>
        <w:jc w:val="both"/>
        <w:textAlignment w:val="auto"/>
        <w:outlineLvl w:val="9"/>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晋升途径：</w:t>
      </w:r>
      <w:r>
        <w:rPr>
          <w:rFonts w:hint="eastAsia" w:ascii="仿宋" w:hAnsi="仿宋" w:eastAsia="仿宋" w:cs="仿宋"/>
          <w:sz w:val="24"/>
          <w:szCs w:val="32"/>
          <w:lang w:val="en-US" w:eastAsia="zh-CN"/>
        </w:rPr>
        <w:t>专业发展秉承从“新人到专家”的路线，员工可晋升为本专业的资深专家：管理发展路径秉承“从新人到管理者”的路线，员工可晋升为团队、组织的管理者。</w:t>
      </w:r>
    </w:p>
    <w:p>
      <w:pPr>
        <w:keepNext w:val="0"/>
        <w:keepLines w:val="0"/>
        <w:pageBreakBefore w:val="0"/>
        <w:widowControl w:val="0"/>
        <w:numPr>
          <w:ilvl w:val="0"/>
          <w:numId w:val="0"/>
        </w:numPr>
        <w:kinsoku/>
        <w:wordWrap/>
        <w:overflowPunct/>
        <w:topLinePunct w:val="0"/>
        <w:autoSpaceDE/>
        <w:autoSpaceDN/>
        <w:bidi w:val="0"/>
        <w:adjustRightInd/>
        <w:snapToGrid/>
        <w:ind w:left="479" w:leftChars="228" w:firstLine="0" w:firstLineChars="0"/>
        <w:jc w:val="both"/>
        <w:textAlignment w:val="auto"/>
        <w:outlineLvl w:val="9"/>
        <w:rPr>
          <w:rFonts w:hint="eastAsia" w:ascii="仿宋" w:hAnsi="仿宋" w:eastAsia="仿宋" w:cs="仿宋"/>
          <w:b/>
          <w:bCs/>
          <w:sz w:val="28"/>
          <w:szCs w:val="36"/>
          <w:lang w:val="en-US" w:eastAsia="zh-CN"/>
        </w:rPr>
      </w:pPr>
      <w:r>
        <w:rPr>
          <w:rFonts w:hint="eastAsia" w:ascii="仿宋" w:hAnsi="仿宋" w:eastAsia="仿宋" w:cs="仿宋"/>
          <w:b/>
          <w:bCs/>
          <w:sz w:val="24"/>
          <w:szCs w:val="32"/>
          <w:lang w:val="en-US" w:eastAsia="zh-CN"/>
        </w:rPr>
        <w:t>培养计划：</w:t>
      </w:r>
      <w:r>
        <w:rPr>
          <w:rFonts w:hint="eastAsia" w:ascii="仿宋" w:hAnsi="仿宋" w:eastAsia="仿宋" w:cs="仿宋"/>
          <w:sz w:val="24"/>
          <w:szCs w:val="32"/>
          <w:lang w:val="en-US" w:eastAsia="zh-CN"/>
        </w:rPr>
        <w:t>中建东孚物业有分层次的员工培养方案，应届毕业生可通过为期一年的“导师带徒”迅速成长成为企业未来的核心力量。</w:t>
      </w:r>
    </w:p>
    <w:p>
      <w:pPr>
        <w:widowControl w:val="0"/>
        <w:numPr>
          <w:ilvl w:val="0"/>
          <w:numId w:val="0"/>
        </w:numPr>
        <w:jc w:val="both"/>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六、联系方式</w:t>
      </w:r>
    </w:p>
    <w:p>
      <w:pPr>
        <w:widowControl w:val="0"/>
        <w:numPr>
          <w:ilvl w:val="0"/>
          <w:numId w:val="0"/>
        </w:num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公司地址（总部）：</w:t>
      </w:r>
      <w:r>
        <w:rPr>
          <w:rFonts w:hint="eastAsia" w:ascii="仿宋" w:hAnsi="仿宋" w:eastAsia="仿宋" w:cs="仿宋"/>
          <w:sz w:val="24"/>
          <w:szCs w:val="32"/>
          <w:lang w:val="en-US" w:eastAsia="zh-CN"/>
        </w:rPr>
        <w:t>上海市浦东新区新金桥路1599号B2栋12楼</w:t>
      </w:r>
    </w:p>
    <w:p>
      <w:pPr>
        <w:widowControl w:val="0"/>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        </w:t>
      </w:r>
      <w:r>
        <w:rPr>
          <w:rFonts w:hint="eastAsia" w:ascii="仿宋" w:hAnsi="仿宋" w:eastAsia="仿宋" w:cs="仿宋"/>
          <w:b/>
          <w:bCs/>
          <w:sz w:val="24"/>
          <w:szCs w:val="32"/>
          <w:lang w:val="en-US" w:eastAsia="zh-CN"/>
        </w:rPr>
        <w:t>（济南）：</w:t>
      </w:r>
      <w:r>
        <w:rPr>
          <w:rFonts w:hint="eastAsia" w:ascii="仿宋" w:hAnsi="仿宋" w:eastAsia="仿宋" w:cs="仿宋"/>
          <w:sz w:val="24"/>
          <w:szCs w:val="32"/>
          <w:lang w:val="en-US" w:eastAsia="zh-CN"/>
        </w:rPr>
        <w:t>山东省济南市历下区文化东路16号中建文化城4号楼</w:t>
      </w:r>
    </w:p>
    <w:p>
      <w:pPr>
        <w:widowControl w:val="0"/>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        </w:t>
      </w:r>
      <w:r>
        <w:rPr>
          <w:rFonts w:hint="eastAsia" w:ascii="仿宋" w:hAnsi="仿宋" w:eastAsia="仿宋" w:cs="仿宋"/>
          <w:b/>
          <w:bCs/>
          <w:sz w:val="24"/>
          <w:szCs w:val="32"/>
          <w:lang w:val="en-US" w:eastAsia="zh-CN"/>
        </w:rPr>
        <w:t>（西安）：</w:t>
      </w:r>
      <w:r>
        <w:rPr>
          <w:rFonts w:hint="eastAsia" w:ascii="仿宋" w:hAnsi="仿宋" w:eastAsia="仿宋" w:cs="仿宋"/>
          <w:sz w:val="24"/>
          <w:szCs w:val="32"/>
          <w:lang w:val="en-US" w:eastAsia="zh-CN"/>
        </w:rPr>
        <w:t>西安市雁塔区团结南路200号中建国熙台社区二号楼二单元</w:t>
      </w:r>
    </w:p>
    <w:p>
      <w:pPr>
        <w:widowControl w:val="0"/>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        </w:t>
      </w:r>
      <w:r>
        <w:rPr>
          <w:rFonts w:hint="eastAsia" w:ascii="仿宋" w:hAnsi="仿宋" w:eastAsia="仿宋" w:cs="仿宋"/>
          <w:b/>
          <w:bCs/>
          <w:sz w:val="24"/>
          <w:szCs w:val="32"/>
          <w:lang w:val="en-US" w:eastAsia="zh-CN"/>
        </w:rPr>
        <w:t>（青岛）：</w:t>
      </w:r>
      <w:r>
        <w:rPr>
          <w:rFonts w:hint="eastAsia" w:ascii="仿宋" w:hAnsi="仿宋" w:eastAsia="仿宋" w:cs="仿宋"/>
          <w:sz w:val="24"/>
          <w:szCs w:val="32"/>
          <w:lang w:val="en-US" w:eastAsia="zh-CN"/>
        </w:rPr>
        <w:t>青岛市黄岛区月亮湾路1077号锦绣城睿园7-1-101</w:t>
      </w:r>
    </w:p>
    <w:p>
      <w:pPr>
        <w:widowControl w:val="0"/>
        <w:numPr>
          <w:ilvl w:val="0"/>
          <w:numId w:val="0"/>
        </w:num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投递邮箱：</w:t>
      </w:r>
      <w:r>
        <w:rPr>
          <w:rFonts w:hint="eastAsia" w:ascii="仿宋" w:hAnsi="仿宋" w:eastAsia="仿宋" w:cs="仿宋"/>
          <w:color w:val="auto"/>
          <w:sz w:val="24"/>
          <w:szCs w:val="32"/>
          <w:u w:val="none"/>
          <w:lang w:val="en-US" w:eastAsia="zh-CN"/>
        </w:rPr>
        <w:t>dfwyhr@cscec.com</w:t>
      </w:r>
      <w:r>
        <w:rPr>
          <w:rFonts w:hint="eastAsia" w:ascii="仿宋" w:hAnsi="仿宋" w:eastAsia="仿宋" w:cs="仿宋"/>
          <w:sz w:val="24"/>
          <w:szCs w:val="32"/>
          <w:lang w:val="en-US" w:eastAsia="zh-CN"/>
        </w:rPr>
        <w:t xml:space="preserve"> </w:t>
      </w:r>
    </w:p>
    <w:p>
      <w:pPr>
        <w:widowControl w:val="0"/>
        <w:numPr>
          <w:ilvl w:val="0"/>
          <w:numId w:val="0"/>
        </w:num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咨询电话：</w:t>
      </w:r>
      <w:r>
        <w:rPr>
          <w:rFonts w:hint="eastAsia" w:ascii="仿宋" w:hAnsi="仿宋" w:eastAsia="仿宋" w:cs="仿宋"/>
          <w:sz w:val="24"/>
          <w:szCs w:val="32"/>
          <w:lang w:val="en-US" w:eastAsia="zh-CN"/>
        </w:rPr>
        <w:t>021-60939168-1229 张小姐</w:t>
      </w:r>
    </w:p>
    <w:p>
      <w:pPr>
        <w:widowControl w:val="0"/>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drawing>
          <wp:inline distT="0" distB="0" distL="0" distR="0">
            <wp:extent cx="2495550" cy="249555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5" cstate="print"/>
                    <a:srcRect/>
                    <a:stretch>
                      <a:fillRect/>
                    </a:stretch>
                  </pic:blipFill>
                  <pic:spPr>
                    <a:xfrm>
                      <a:off x="0" y="0"/>
                      <a:ext cx="2495550" cy="2495550"/>
                    </a:xfrm>
                    <a:prstGeom prst="rect">
                      <a:avLst/>
                    </a:prstGeom>
                  </pic:spPr>
                </pic:pic>
              </a:graphicData>
            </a:graphic>
          </wp:inline>
        </w:drawing>
      </w: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宋体"/>
        <w:lang w:eastAsia="zh-CN"/>
      </w:rPr>
    </w:pPr>
    <w:r>
      <w:rPr>
        <w:rFonts w:hint="eastAsia" w:eastAsia="宋体"/>
        <w:lang w:eastAsia="zh-CN"/>
      </w:rPr>
      <w:drawing>
        <wp:inline distT="0" distB="0" distL="114300" distR="114300">
          <wp:extent cx="2815590" cy="288290"/>
          <wp:effectExtent l="0" t="0" r="3810" b="16510"/>
          <wp:docPr id="1" name="图片 1" descr="公司全称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全称LOG"/>
                  <pic:cNvPicPr>
                    <a:picLocks noChangeAspect="1"/>
                  </pic:cNvPicPr>
                </pic:nvPicPr>
                <pic:blipFill>
                  <a:blip r:embed="rId1"/>
                  <a:stretch>
                    <a:fillRect/>
                  </a:stretch>
                </pic:blipFill>
                <pic:spPr>
                  <a:xfrm>
                    <a:off x="0" y="0"/>
                    <a:ext cx="2815590" cy="288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1AC3"/>
    <w:multiLevelType w:val="singleLevel"/>
    <w:tmpl w:val="B6521AC3"/>
    <w:lvl w:ilvl="0" w:tentative="0">
      <w:start w:val="1"/>
      <w:numFmt w:val="decimal"/>
      <w:suff w:val="nothing"/>
      <w:lvlText w:val="（%1）"/>
      <w:lvlJc w:val="left"/>
    </w:lvl>
  </w:abstractNum>
  <w:abstractNum w:abstractNumId="1">
    <w:nsid w:val="00000000"/>
    <w:multiLevelType w:val="singleLevel"/>
    <w:tmpl w:val="00000000"/>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B6BF7"/>
    <w:rsid w:val="05454D2F"/>
    <w:rsid w:val="07AF43D8"/>
    <w:rsid w:val="117B775A"/>
    <w:rsid w:val="11CE0B6E"/>
    <w:rsid w:val="11ED22F3"/>
    <w:rsid w:val="20F83E28"/>
    <w:rsid w:val="2B515190"/>
    <w:rsid w:val="336F7DC8"/>
    <w:rsid w:val="34A91E72"/>
    <w:rsid w:val="374D3613"/>
    <w:rsid w:val="39EA66D6"/>
    <w:rsid w:val="3CCD5226"/>
    <w:rsid w:val="4BEA0365"/>
    <w:rsid w:val="4E104A17"/>
    <w:rsid w:val="4E220EBA"/>
    <w:rsid w:val="546E2D4C"/>
    <w:rsid w:val="56187C4E"/>
    <w:rsid w:val="69241C95"/>
    <w:rsid w:val="6DA43F81"/>
    <w:rsid w:val="736E07BD"/>
    <w:rsid w:val="797F4138"/>
    <w:rsid w:val="7A8E002A"/>
    <w:rsid w:val="7BF11568"/>
    <w:rsid w:val="7D18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4">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1433</Words>
  <Characters>1530</Characters>
  <Paragraphs>78</Paragraphs>
  <TotalTime>0</TotalTime>
  <ScaleCrop>false</ScaleCrop>
  <LinksUpToDate>false</LinksUpToDate>
  <CharactersWithSpaces>1567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2017-10-18T03:16:00Z</dcterms:created>
  <dc:creator>Administrator</dc:creator>
  <cp:lastModifiedBy>Healthy Nicole</cp:lastModifiedBy>
  <dcterms:modified xsi:type="dcterms:W3CDTF">2019-09-23T02:34:18Z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