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2"/>
          <w:szCs w:val="32"/>
          <w:lang w:val="en-US" w:eastAsia="zh-CN"/>
        </w:rPr>
      </w:pPr>
      <w:r>
        <w:rPr>
          <w:rFonts w:hint="eastAsia"/>
          <w:b/>
          <w:bCs/>
          <w:sz w:val="32"/>
          <w:szCs w:val="32"/>
          <w:lang w:val="en-US" w:eastAsia="zh-CN"/>
        </w:rPr>
        <w:t>黄河交通学院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b/>
          <w:bCs/>
          <w:sz w:val="32"/>
          <w:szCs w:val="32"/>
          <w:lang w:val="en-US" w:eastAsia="zh-CN"/>
        </w:rPr>
      </w:pPr>
      <w:r>
        <w:rPr>
          <w:rFonts w:hint="eastAsia"/>
          <w:b/>
          <w:bCs/>
          <w:sz w:val="32"/>
          <w:szCs w:val="32"/>
          <w:lang w:val="en-US" w:eastAsia="zh-CN"/>
        </w:rPr>
        <w:t>经济管理学院招聘简章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黄河交通学院是经国家教育部批准设置的河南省唯一一所培养交通运输类人才为主的普通本科高校。建校20余年，学校秉承"修德、启智、博学、笃信"的校训，面向现代综合交通运输和现代机械制造行业办学，先后为社会培养了10余万名优秀人才，为河南奋进新时代、中原更加出彩提供强有力的智力支持和人才支撑。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济管理学院是黄河交通学院最早成立的教学院系之一，经过十余年的发展与建设，现拥有较强的师资队伍和先进的实验设备，积累了一系列丰富的办学经验和科技开发资源，已成为教学、科研等综合实力最强的院系之一。十余年来，为社会输送了大量管理、金融、经济方面的优秀人才，许多已成为教育、管理和科技战线上的骨干力量，有的已成为省内外知名企业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经济管理学院是涵盖管理学、经济学两大学科门类，共有物流管理、物流工程、电子商务、交通管理、财务管理、审计学和金融工程等七个本科专业，物流管理、航空物流、会计、市场营销、财务管理、金融管理、电子商务、酒店管理和城市轨道交通运营管理九个专科专业，设置了物流管理、公共管理、商务经济、财务管理、金融工程、审计学和管理工程实验中心等七个基层教学单位。</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经济管理学院位于黄河交通学院东校区，该校区占地面积840余亩，毗邻武陟高铁站，规划建筑面积53万平方米，总投资16亿元，一期工程已经投入使用。随着二期工程开工建设，一个现代化的生态大学校园即将屹立在郑州的后花园，成为郑焦、郑太高铁旁一道靓丽的风景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郑州与焦作两地将“手牵手”，着力构建“一河通五轴，一带连两心、两山协三拳”的郑焦一体化发展总体布局，学校的发展迎来新的重要机遇。校区地处郑州“一刻钟经济圈”内，地理位置优越，置身于龙泉湖畔、嘉应观旁，与郑州黄河风景名胜区隔河相望，乘坐城际列车从郑州火车站至学校仅需18分钟，交通便利，环境宜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经济管理学院将不断完善自己，加强建设，努力成为在学科建设和人才培养模式等方面具有鲜明“大交通”行业特色、在省内具有相当影响力的一流教学科研单位。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一、人才需求</w:t>
      </w:r>
    </w:p>
    <w:tbl>
      <w:tblPr>
        <w:tblStyle w:val="3"/>
        <w:tblpPr w:leftFromText="180" w:rightFromText="180" w:vertAnchor="text" w:horzAnchor="page" w:tblpX="2040" w:tblpY="135"/>
        <w:tblOverlap w:val="never"/>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515"/>
        <w:gridCol w:w="885"/>
        <w:gridCol w:w="1035"/>
        <w:gridCol w:w="3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95" w:type="dxa"/>
            <w:noWrap w:val="0"/>
            <w:vAlign w:val="center"/>
          </w:tcPr>
          <w:p>
            <w:pPr>
              <w:spacing w:line="240" w:lineRule="auto"/>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教研室</w:t>
            </w:r>
          </w:p>
        </w:tc>
        <w:tc>
          <w:tcPr>
            <w:tcW w:w="1515" w:type="dxa"/>
            <w:noWrap w:val="0"/>
            <w:vAlign w:val="center"/>
          </w:tcPr>
          <w:p>
            <w:pPr>
              <w:spacing w:line="240" w:lineRule="auto"/>
              <w:ind w:firstLine="482" w:firstLineChars="200"/>
              <w:jc w:val="both"/>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专业</w:t>
            </w:r>
          </w:p>
        </w:tc>
        <w:tc>
          <w:tcPr>
            <w:tcW w:w="885" w:type="dxa"/>
            <w:noWrap w:val="0"/>
            <w:vAlign w:val="center"/>
          </w:tcPr>
          <w:p>
            <w:pPr>
              <w:spacing w:line="240" w:lineRule="auto"/>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人数</w:t>
            </w:r>
          </w:p>
        </w:tc>
        <w:tc>
          <w:tcPr>
            <w:tcW w:w="1035" w:type="dxa"/>
            <w:noWrap w:val="0"/>
            <w:vAlign w:val="center"/>
          </w:tcPr>
          <w:p>
            <w:pPr>
              <w:spacing w:line="240" w:lineRule="auto"/>
              <w:ind w:firstLine="241" w:firstLineChars="100"/>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岗位</w:t>
            </w:r>
          </w:p>
        </w:tc>
        <w:tc>
          <w:tcPr>
            <w:tcW w:w="3390" w:type="dxa"/>
            <w:noWrap w:val="0"/>
            <w:vAlign w:val="center"/>
          </w:tcPr>
          <w:p>
            <w:pPr>
              <w:spacing w:line="240" w:lineRule="auto"/>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招聘要求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5" w:hRule="atLeast"/>
        </w:trPr>
        <w:tc>
          <w:tcPr>
            <w:tcW w:w="1395" w:type="dxa"/>
            <w:noWrap w:val="0"/>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财务管理教研室</w:t>
            </w:r>
          </w:p>
        </w:tc>
        <w:tc>
          <w:tcPr>
            <w:tcW w:w="1515" w:type="dxa"/>
            <w:noWrap w:val="0"/>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财务管理</w:t>
            </w:r>
          </w:p>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相关专业</w:t>
            </w:r>
          </w:p>
        </w:tc>
        <w:tc>
          <w:tcPr>
            <w:tcW w:w="885" w:type="dxa"/>
            <w:noWrap w:val="0"/>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c>
          <w:tcPr>
            <w:tcW w:w="1035" w:type="dxa"/>
            <w:noWrap w:val="0"/>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教师</w:t>
            </w:r>
          </w:p>
        </w:tc>
        <w:tc>
          <w:tcPr>
            <w:tcW w:w="3390" w:type="dxa"/>
            <w:noWrap w:val="0"/>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硕士研究生及以上学历</w:t>
            </w:r>
          </w:p>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副高</w:t>
            </w:r>
            <w:r>
              <w:rPr>
                <w:rFonts w:hint="eastAsia" w:asciiTheme="minorEastAsia" w:hAnsiTheme="minorEastAsia" w:cstheme="minorEastAsia"/>
                <w:b w:val="0"/>
                <w:bCs w:val="0"/>
                <w:sz w:val="24"/>
                <w:szCs w:val="24"/>
                <w:vertAlign w:val="baseline"/>
                <w:lang w:val="en-US" w:eastAsia="zh-CN"/>
              </w:rPr>
              <w:t>及</w:t>
            </w:r>
            <w:r>
              <w:rPr>
                <w:rFonts w:hint="eastAsia" w:asciiTheme="minorEastAsia" w:hAnsiTheme="minorEastAsia" w:eastAsiaTheme="minorEastAsia" w:cstheme="minorEastAsia"/>
                <w:b w:val="0"/>
                <w:bCs w:val="0"/>
                <w:sz w:val="24"/>
                <w:szCs w:val="24"/>
                <w:vertAlign w:val="baseline"/>
                <w:lang w:val="en-US" w:eastAsia="zh-CN"/>
              </w:rPr>
              <w:t>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395" w:type="dxa"/>
            <w:noWrap w:val="0"/>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电子商务教研室</w:t>
            </w:r>
          </w:p>
        </w:tc>
        <w:tc>
          <w:tcPr>
            <w:tcW w:w="1515" w:type="dxa"/>
            <w:noWrap w:val="0"/>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电子商务</w:t>
            </w:r>
          </w:p>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相关专业</w:t>
            </w:r>
          </w:p>
        </w:tc>
        <w:tc>
          <w:tcPr>
            <w:tcW w:w="885" w:type="dxa"/>
            <w:noWrap w:val="0"/>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c>
          <w:tcPr>
            <w:tcW w:w="1035" w:type="dxa"/>
            <w:noWrap w:val="0"/>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教师</w:t>
            </w:r>
          </w:p>
        </w:tc>
        <w:tc>
          <w:tcPr>
            <w:tcW w:w="3390" w:type="dxa"/>
            <w:noWrap w:val="0"/>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硕士研究生及以上学历</w:t>
            </w:r>
          </w:p>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副高</w:t>
            </w:r>
            <w:r>
              <w:rPr>
                <w:rFonts w:hint="eastAsia" w:asciiTheme="minorEastAsia" w:hAnsiTheme="minorEastAsia" w:cstheme="minorEastAsia"/>
                <w:b w:val="0"/>
                <w:bCs w:val="0"/>
                <w:sz w:val="24"/>
                <w:szCs w:val="24"/>
                <w:vertAlign w:val="baseline"/>
                <w:lang w:val="en-US" w:eastAsia="zh-CN"/>
              </w:rPr>
              <w:t>及</w:t>
            </w:r>
            <w:r>
              <w:rPr>
                <w:rFonts w:hint="eastAsia" w:asciiTheme="minorEastAsia" w:hAnsiTheme="minorEastAsia" w:eastAsiaTheme="minorEastAsia" w:cstheme="minorEastAsia"/>
                <w:b w:val="0"/>
                <w:bCs w:val="0"/>
                <w:sz w:val="24"/>
                <w:szCs w:val="24"/>
                <w:vertAlign w:val="baseline"/>
                <w:lang w:val="en-US" w:eastAsia="zh-CN"/>
              </w:rPr>
              <w:t>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4" w:hRule="atLeast"/>
        </w:trPr>
        <w:tc>
          <w:tcPr>
            <w:tcW w:w="1395" w:type="dxa"/>
            <w:vMerge w:val="restart"/>
            <w:noWrap w:val="0"/>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物流管理教研室</w:t>
            </w:r>
          </w:p>
        </w:tc>
        <w:tc>
          <w:tcPr>
            <w:tcW w:w="1515" w:type="dxa"/>
            <w:vMerge w:val="restart"/>
            <w:noWrap w:val="0"/>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物流管理</w:t>
            </w:r>
          </w:p>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相关专业</w:t>
            </w:r>
          </w:p>
        </w:tc>
        <w:tc>
          <w:tcPr>
            <w:tcW w:w="885" w:type="dxa"/>
            <w:noWrap w:val="0"/>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c>
          <w:tcPr>
            <w:tcW w:w="1035" w:type="dxa"/>
            <w:vMerge w:val="restart"/>
            <w:noWrap w:val="0"/>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教师</w:t>
            </w:r>
          </w:p>
        </w:tc>
        <w:tc>
          <w:tcPr>
            <w:tcW w:w="3390" w:type="dxa"/>
            <w:vMerge w:val="restart"/>
            <w:noWrap w:val="0"/>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硕士研究生及以上学历</w:t>
            </w:r>
          </w:p>
          <w:p>
            <w:pPr>
              <w:ind w:firstLine="240" w:firstLineChars="100"/>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副高</w:t>
            </w:r>
            <w:r>
              <w:rPr>
                <w:rFonts w:hint="eastAsia" w:asciiTheme="minorEastAsia" w:hAnsiTheme="minorEastAsia" w:cstheme="minorEastAsia"/>
                <w:b w:val="0"/>
                <w:bCs w:val="0"/>
                <w:sz w:val="24"/>
                <w:szCs w:val="24"/>
                <w:vertAlign w:val="baseline"/>
                <w:lang w:val="en-US" w:eastAsia="zh-CN"/>
              </w:rPr>
              <w:t>及</w:t>
            </w:r>
            <w:r>
              <w:rPr>
                <w:rFonts w:hint="eastAsia" w:asciiTheme="minorEastAsia" w:hAnsiTheme="minorEastAsia" w:eastAsiaTheme="minorEastAsia" w:cstheme="minorEastAsia"/>
                <w:b w:val="0"/>
                <w:bCs w:val="0"/>
                <w:sz w:val="24"/>
                <w:szCs w:val="24"/>
                <w:vertAlign w:val="baseline"/>
                <w:lang w:val="en-US" w:eastAsia="zh-CN"/>
              </w:rPr>
              <w:t>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395" w:type="dxa"/>
            <w:vMerge w:val="restart"/>
            <w:noWrap w:val="0"/>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公共管理教研室</w:t>
            </w:r>
          </w:p>
        </w:tc>
        <w:tc>
          <w:tcPr>
            <w:tcW w:w="1515" w:type="dxa"/>
            <w:vMerge w:val="restart"/>
            <w:noWrap w:val="0"/>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交通管理</w:t>
            </w:r>
          </w:p>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相关专业</w:t>
            </w:r>
          </w:p>
        </w:tc>
        <w:tc>
          <w:tcPr>
            <w:tcW w:w="885" w:type="dxa"/>
            <w:noWrap w:val="0"/>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c>
          <w:tcPr>
            <w:tcW w:w="1035" w:type="dxa"/>
            <w:vMerge w:val="restart"/>
            <w:noWrap w:val="0"/>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教师</w:t>
            </w:r>
          </w:p>
        </w:tc>
        <w:tc>
          <w:tcPr>
            <w:tcW w:w="3390" w:type="dxa"/>
            <w:vMerge w:val="restart"/>
            <w:noWrap w:val="0"/>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硕士研究生及以上学历</w:t>
            </w:r>
          </w:p>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副高</w:t>
            </w:r>
            <w:r>
              <w:rPr>
                <w:rFonts w:hint="eastAsia" w:asciiTheme="minorEastAsia" w:hAnsiTheme="minorEastAsia" w:cstheme="minorEastAsia"/>
                <w:b w:val="0"/>
                <w:bCs w:val="0"/>
                <w:sz w:val="24"/>
                <w:szCs w:val="24"/>
                <w:vertAlign w:val="baseline"/>
                <w:lang w:val="en-US" w:eastAsia="zh-CN"/>
              </w:rPr>
              <w:t>及</w:t>
            </w:r>
            <w:r>
              <w:rPr>
                <w:rFonts w:hint="eastAsia" w:asciiTheme="minorEastAsia" w:hAnsiTheme="minorEastAsia" w:eastAsiaTheme="minorEastAsia" w:cstheme="minorEastAsia"/>
                <w:b w:val="0"/>
                <w:bCs w:val="0"/>
                <w:sz w:val="24"/>
                <w:szCs w:val="24"/>
                <w:vertAlign w:val="baseline"/>
                <w:lang w:val="en-US" w:eastAsia="zh-CN"/>
              </w:rPr>
              <w:t>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395" w:type="dxa"/>
            <w:noWrap w:val="0"/>
            <w:vAlign w:val="center"/>
          </w:tcPr>
          <w:p>
            <w:pPr>
              <w:jc w:val="center"/>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审计学</w:t>
            </w:r>
          </w:p>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教研室</w:t>
            </w:r>
          </w:p>
        </w:tc>
        <w:tc>
          <w:tcPr>
            <w:tcW w:w="1515" w:type="dxa"/>
            <w:noWrap w:val="0"/>
            <w:vAlign w:val="center"/>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审计学</w:t>
            </w:r>
          </w:p>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相关专业</w:t>
            </w:r>
          </w:p>
        </w:tc>
        <w:tc>
          <w:tcPr>
            <w:tcW w:w="885" w:type="dxa"/>
            <w:noWrap w:val="0"/>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c>
          <w:tcPr>
            <w:tcW w:w="1035" w:type="dxa"/>
            <w:noWrap w:val="0"/>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教师</w:t>
            </w:r>
          </w:p>
        </w:tc>
        <w:tc>
          <w:tcPr>
            <w:tcW w:w="3390" w:type="dxa"/>
            <w:noWrap w:val="0"/>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硕士研究生及以上学历</w:t>
            </w:r>
          </w:p>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副高</w:t>
            </w:r>
            <w:r>
              <w:rPr>
                <w:rFonts w:hint="eastAsia" w:asciiTheme="minorEastAsia" w:hAnsiTheme="minorEastAsia" w:cstheme="minorEastAsia"/>
                <w:b w:val="0"/>
                <w:bCs w:val="0"/>
                <w:sz w:val="24"/>
                <w:szCs w:val="24"/>
                <w:vertAlign w:val="baseline"/>
                <w:lang w:val="en-US" w:eastAsia="zh-CN"/>
              </w:rPr>
              <w:t>及</w:t>
            </w:r>
            <w:r>
              <w:rPr>
                <w:rFonts w:hint="eastAsia" w:asciiTheme="minorEastAsia" w:hAnsiTheme="minorEastAsia" w:eastAsiaTheme="minorEastAsia" w:cstheme="minorEastAsia"/>
                <w:b w:val="0"/>
                <w:bCs w:val="0"/>
                <w:sz w:val="24"/>
                <w:szCs w:val="24"/>
                <w:vertAlign w:val="baseline"/>
                <w:lang w:val="en-US" w:eastAsia="zh-CN"/>
              </w:rPr>
              <w:t>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9" w:hRule="atLeast"/>
        </w:trPr>
        <w:tc>
          <w:tcPr>
            <w:tcW w:w="1395" w:type="dxa"/>
            <w:noWrap w:val="0"/>
            <w:vAlign w:val="center"/>
          </w:tcPr>
          <w:p>
            <w:pPr>
              <w:jc w:val="center"/>
              <w:rPr>
                <w:rFonts w:hint="eastAsia" w:asciiTheme="minorEastAsia" w:hAnsiTheme="minorEastAsia" w:cstheme="minorEastAsia"/>
                <w:b w:val="0"/>
                <w:bCs w:val="0"/>
                <w:sz w:val="24"/>
                <w:szCs w:val="24"/>
                <w:vertAlign w:val="baseline"/>
                <w:lang w:val="en-US" w:eastAsia="zh-CN"/>
              </w:rPr>
            </w:pPr>
            <w:bookmarkStart w:id="0" w:name="_GoBack" w:colFirst="2" w:colLast="4"/>
            <w:r>
              <w:rPr>
                <w:rFonts w:hint="eastAsia" w:asciiTheme="minorEastAsia" w:hAnsiTheme="minorEastAsia" w:cstheme="minorEastAsia"/>
                <w:b w:val="0"/>
                <w:bCs w:val="0"/>
                <w:sz w:val="24"/>
                <w:szCs w:val="24"/>
                <w:vertAlign w:val="baseline"/>
                <w:lang w:val="en-US" w:eastAsia="zh-CN"/>
              </w:rPr>
              <w:t>金融工程</w:t>
            </w:r>
          </w:p>
          <w:p>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教研室</w:t>
            </w:r>
          </w:p>
        </w:tc>
        <w:tc>
          <w:tcPr>
            <w:tcW w:w="1515" w:type="dxa"/>
            <w:noWrap w:val="0"/>
            <w:vAlign w:val="center"/>
          </w:tcPr>
          <w:p>
            <w:pPr>
              <w:jc w:val="center"/>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金融工程</w:t>
            </w:r>
          </w:p>
          <w:p>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相关专业</w:t>
            </w:r>
          </w:p>
        </w:tc>
        <w:tc>
          <w:tcPr>
            <w:tcW w:w="885" w:type="dxa"/>
            <w:noWrap w:val="0"/>
            <w:vAlign w:val="center"/>
          </w:tcPr>
          <w:p>
            <w:pPr>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1</w:t>
            </w:r>
          </w:p>
        </w:tc>
        <w:tc>
          <w:tcPr>
            <w:tcW w:w="1035" w:type="dxa"/>
            <w:noWrap w:val="0"/>
            <w:vAlign w:val="center"/>
          </w:tcPr>
          <w:p>
            <w:pPr>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教师</w:t>
            </w:r>
          </w:p>
        </w:tc>
        <w:tc>
          <w:tcPr>
            <w:tcW w:w="3390" w:type="dxa"/>
            <w:noWrap w:val="0"/>
            <w:vAlign w:val="center"/>
          </w:tcPr>
          <w:p>
            <w:p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硕士研究生及以上学历</w:t>
            </w:r>
          </w:p>
          <w:p>
            <w:pPr>
              <w:jc w:val="cente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副高</w:t>
            </w:r>
            <w:r>
              <w:rPr>
                <w:rFonts w:hint="eastAsia" w:asciiTheme="minorEastAsia" w:hAnsiTheme="minorEastAsia" w:cstheme="minorEastAsia"/>
                <w:b w:val="0"/>
                <w:bCs w:val="0"/>
                <w:sz w:val="24"/>
                <w:szCs w:val="24"/>
                <w:vertAlign w:val="baseline"/>
                <w:lang w:val="en-US" w:eastAsia="zh-CN"/>
              </w:rPr>
              <w:t>及</w:t>
            </w:r>
            <w:r>
              <w:rPr>
                <w:rFonts w:hint="eastAsia" w:asciiTheme="minorEastAsia" w:hAnsiTheme="minorEastAsia" w:eastAsiaTheme="minorEastAsia" w:cstheme="minorEastAsia"/>
                <w:b w:val="0"/>
                <w:bCs w:val="0"/>
                <w:sz w:val="24"/>
                <w:szCs w:val="24"/>
                <w:vertAlign w:val="baseline"/>
                <w:lang w:val="en-US" w:eastAsia="zh-CN"/>
              </w:rPr>
              <w:t>以上职称</w:t>
            </w:r>
          </w:p>
        </w:tc>
      </w:tr>
      <w:bookmarkEnd w:id="0"/>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bCs/>
          <w:sz w:val="24"/>
          <w:szCs w:val="24"/>
        </w:rPr>
      </w:pPr>
      <w:r>
        <w:rPr>
          <w:rFonts w:hint="eastAsia"/>
          <w:b/>
          <w:bCs/>
          <w:sz w:val="24"/>
          <w:szCs w:val="24"/>
          <w:lang w:val="en-US" w:eastAsia="zh-CN"/>
        </w:rPr>
        <w:t>二、</w:t>
      </w:r>
      <w:r>
        <w:rPr>
          <w:rFonts w:hint="eastAsia"/>
          <w:b/>
          <w:bCs/>
          <w:sz w:val="24"/>
          <w:szCs w:val="24"/>
        </w:rPr>
        <w:t>招聘要求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szCs w:val="24"/>
          <w:lang w:eastAsia="zh-CN"/>
        </w:rPr>
      </w:pPr>
      <w:r>
        <w:rPr>
          <w:rFonts w:hint="eastAsia"/>
          <w:sz w:val="24"/>
          <w:szCs w:val="24"/>
        </w:rPr>
        <w:t xml:space="preserve">    </w:t>
      </w:r>
      <w:r>
        <w:rPr>
          <w:rFonts w:hint="eastAsia"/>
          <w:sz w:val="24"/>
          <w:szCs w:val="24"/>
          <w:lang w:val="en-US" w:eastAsia="zh-CN"/>
        </w:rPr>
        <w:t>1、</w:t>
      </w:r>
      <w:r>
        <w:rPr>
          <w:rFonts w:hint="eastAsia"/>
          <w:sz w:val="24"/>
          <w:szCs w:val="24"/>
        </w:rPr>
        <w:t>硕士（含）研究生以上学历，本硕专业一致</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szCs w:val="24"/>
          <w:lang w:eastAsia="zh-CN"/>
        </w:rPr>
      </w:pPr>
      <w:r>
        <w:rPr>
          <w:rFonts w:hint="eastAsia"/>
          <w:sz w:val="24"/>
          <w:szCs w:val="24"/>
        </w:rPr>
        <w:t xml:space="preserve">    </w:t>
      </w:r>
      <w:r>
        <w:rPr>
          <w:rFonts w:hint="eastAsia"/>
          <w:sz w:val="24"/>
          <w:szCs w:val="24"/>
          <w:lang w:val="en-US" w:eastAsia="zh-CN"/>
        </w:rPr>
        <w:t>2、</w:t>
      </w:r>
      <w:r>
        <w:rPr>
          <w:rFonts w:hint="eastAsia"/>
          <w:sz w:val="24"/>
          <w:szCs w:val="24"/>
        </w:rPr>
        <w:t>具有相关教学经验者优先，具有高校教师资格证、副高及以上专业技术职务者优先</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eastAsiaTheme="minorEastAsia"/>
          <w:sz w:val="24"/>
          <w:szCs w:val="24"/>
          <w:lang w:val="en-US" w:eastAsia="zh-CN"/>
        </w:rPr>
      </w:pPr>
      <w:r>
        <w:rPr>
          <w:rFonts w:hint="eastAsia"/>
          <w:sz w:val="24"/>
          <w:szCs w:val="24"/>
          <w:lang w:val="en-US" w:eastAsia="zh-CN"/>
        </w:rPr>
        <w:t>3、</w:t>
      </w:r>
      <w:r>
        <w:rPr>
          <w:rFonts w:hint="eastAsia"/>
          <w:sz w:val="24"/>
          <w:szCs w:val="24"/>
        </w:rPr>
        <w:t>热爱教育事业，踏实勤奋，具有开拓精神，团队合作、创新能力</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default" w:eastAsiaTheme="minorEastAsia"/>
          <w:b/>
          <w:bCs/>
          <w:sz w:val="24"/>
          <w:szCs w:val="24"/>
          <w:lang w:val="en-US" w:eastAsia="zh-CN"/>
        </w:rPr>
      </w:pPr>
      <w:r>
        <w:rPr>
          <w:rFonts w:hint="eastAsia"/>
          <w:b/>
          <w:bCs/>
          <w:sz w:val="24"/>
          <w:szCs w:val="24"/>
          <w:lang w:val="en-US" w:eastAsia="zh-CN"/>
        </w:rPr>
        <w:t>三、联系方式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rPr>
        <w:t>通讯地址：焦作市武陟迎宾大道黄河交通学院</w:t>
      </w:r>
      <w:r>
        <w:rPr>
          <w:rFonts w:hint="eastAsia"/>
          <w:sz w:val="24"/>
          <w:szCs w:val="24"/>
          <w:lang w:val="en-US" w:eastAsia="zh-CN"/>
        </w:rPr>
        <w:t>新校区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电子邮箱：yaotianjin.001@163.com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学院网址：http://i.hhjtxy.com/manages/main.cshtml?siteId=52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联系电话：姚老师 13298172886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A5EB4"/>
    <w:rsid w:val="0F9D00AA"/>
    <w:rsid w:val="1AB43388"/>
    <w:rsid w:val="23E86E3F"/>
    <w:rsid w:val="52EA58FF"/>
    <w:rsid w:val="78B50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是培培呀</cp:lastModifiedBy>
  <dcterms:modified xsi:type="dcterms:W3CDTF">2021-04-26T00:45:57Z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8364B79869494F9CA55A8896CDFB7003</vt:lpwstr>
  </property>
</Properties>
</file>