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contextualSpacing/>
        <w:jc w:val="center"/>
        <w:rPr>
          <w:rFonts w:ascii="方正小标宋简体" w:hAnsi="宋体" w:eastAsia="方正小标宋简体"/>
          <w:bCs/>
          <w:color w:val="000000"/>
          <w:sz w:val="44"/>
          <w:szCs w:val="44"/>
        </w:rPr>
      </w:pPr>
      <w:r>
        <w:rPr>
          <w:rFonts w:hint="eastAsia" w:ascii="方正小标宋简体" w:hAnsi="宋体" w:eastAsia="方正小标宋简体"/>
          <w:bCs/>
          <w:color w:val="000000"/>
          <w:sz w:val="44"/>
          <w:szCs w:val="44"/>
        </w:rPr>
        <w:t>参会单位信息表</w:t>
      </w:r>
    </w:p>
    <w:tbl>
      <w:tblPr>
        <w:tblStyle w:val="3"/>
        <w:tblpPr w:leftFromText="180" w:rightFromText="180" w:vertAnchor="text" w:horzAnchor="margin" w:tblpXSpec="center" w:tblpY="158"/>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487"/>
        <w:gridCol w:w="890"/>
        <w:gridCol w:w="955"/>
        <w:gridCol w:w="989"/>
        <w:gridCol w:w="1520"/>
        <w:gridCol w:w="1449"/>
        <w:gridCol w:w="105"/>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1671"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单位名称</w:t>
            </w:r>
          </w:p>
        </w:tc>
        <w:tc>
          <w:tcPr>
            <w:tcW w:w="4841" w:type="dxa"/>
            <w:gridSpan w:val="5"/>
            <w:vAlign w:val="center"/>
          </w:tcPr>
          <w:p>
            <w:pPr>
              <w:jc w:val="center"/>
              <w:rPr>
                <w:rFonts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浙江</w:t>
            </w:r>
            <w:bookmarkStart w:id="0" w:name="_GoBack"/>
            <w:r>
              <w:rPr>
                <w:rFonts w:hint="eastAsia" w:asciiTheme="majorEastAsia" w:hAnsiTheme="majorEastAsia" w:eastAsiaTheme="majorEastAsia" w:cstheme="majorEastAsia"/>
                <w:bCs/>
                <w:sz w:val="28"/>
                <w:szCs w:val="28"/>
              </w:rPr>
              <w:t>通力传动</w:t>
            </w:r>
            <w:bookmarkEnd w:id="0"/>
            <w:r>
              <w:rPr>
                <w:rFonts w:hint="eastAsia" w:asciiTheme="majorEastAsia" w:hAnsiTheme="majorEastAsia" w:eastAsiaTheme="majorEastAsia" w:cstheme="majorEastAsia"/>
                <w:bCs/>
                <w:sz w:val="28"/>
                <w:szCs w:val="28"/>
              </w:rPr>
              <w:t>科技股份有限公司</w:t>
            </w:r>
          </w:p>
        </w:tc>
        <w:tc>
          <w:tcPr>
            <w:tcW w:w="1449"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sz w:val="28"/>
                <w:szCs w:val="28"/>
              </w:rPr>
              <w:t>单位性质</w:t>
            </w:r>
          </w:p>
        </w:tc>
        <w:tc>
          <w:tcPr>
            <w:tcW w:w="2137" w:type="dxa"/>
            <w:gridSpan w:val="2"/>
            <w:vAlign w:val="center"/>
          </w:tcPr>
          <w:p>
            <w:pPr>
              <w:jc w:val="center"/>
              <w:rPr>
                <w:rFonts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1671"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单位地址</w:t>
            </w:r>
          </w:p>
        </w:tc>
        <w:tc>
          <w:tcPr>
            <w:tcW w:w="4841" w:type="dxa"/>
            <w:gridSpan w:val="5"/>
            <w:vAlign w:val="center"/>
          </w:tcPr>
          <w:p>
            <w:pPr>
              <w:jc w:val="center"/>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浙江省瑞安市江南大道3801号</w:t>
            </w:r>
          </w:p>
        </w:tc>
        <w:tc>
          <w:tcPr>
            <w:tcW w:w="1449"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sz w:val="28"/>
                <w:szCs w:val="28"/>
              </w:rPr>
              <w:t>所属行业</w:t>
            </w:r>
          </w:p>
        </w:tc>
        <w:tc>
          <w:tcPr>
            <w:tcW w:w="2137" w:type="dxa"/>
            <w:gridSpan w:val="2"/>
            <w:vAlign w:val="center"/>
          </w:tcPr>
          <w:p>
            <w:pPr>
              <w:jc w:val="center"/>
              <w:rPr>
                <w:rFonts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1671"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联系人</w:t>
            </w:r>
          </w:p>
        </w:tc>
        <w:tc>
          <w:tcPr>
            <w:tcW w:w="1377" w:type="dxa"/>
            <w:gridSpan w:val="2"/>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郑作鹏</w:t>
            </w:r>
          </w:p>
        </w:tc>
        <w:tc>
          <w:tcPr>
            <w:tcW w:w="955"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sz w:val="28"/>
                <w:szCs w:val="28"/>
              </w:rPr>
              <w:t>电话</w:t>
            </w:r>
          </w:p>
        </w:tc>
        <w:tc>
          <w:tcPr>
            <w:tcW w:w="2509" w:type="dxa"/>
            <w:gridSpan w:val="2"/>
            <w:vAlign w:val="center"/>
          </w:tcPr>
          <w:p>
            <w:pPr>
              <w:jc w:val="center"/>
              <w:rPr>
                <w:rFonts w:asciiTheme="majorEastAsia" w:hAnsiTheme="majorEastAsia" w:eastAsiaTheme="majorEastAsia" w:cstheme="majorEastAsia"/>
                <w:b/>
                <w:sz w:val="28"/>
                <w:szCs w:val="28"/>
              </w:rPr>
            </w:pPr>
            <w:r>
              <w:rPr>
                <w:rFonts w:asciiTheme="majorEastAsia" w:hAnsiTheme="majorEastAsia" w:eastAsiaTheme="majorEastAsia" w:cstheme="majorEastAsia"/>
                <w:bCs/>
                <w:sz w:val="28"/>
                <w:szCs w:val="28"/>
              </w:rPr>
              <w:t>0577-65599838</w:t>
            </w:r>
          </w:p>
        </w:tc>
        <w:tc>
          <w:tcPr>
            <w:tcW w:w="1449"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sz w:val="28"/>
                <w:szCs w:val="28"/>
              </w:rPr>
              <w:t>手  机</w:t>
            </w:r>
          </w:p>
        </w:tc>
        <w:tc>
          <w:tcPr>
            <w:tcW w:w="2137" w:type="dxa"/>
            <w:gridSpan w:val="2"/>
            <w:vAlign w:val="center"/>
          </w:tcPr>
          <w:p>
            <w:pPr>
              <w:jc w:val="center"/>
              <w:rPr>
                <w:rFonts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1</w:t>
            </w:r>
            <w:r>
              <w:rPr>
                <w:rFonts w:asciiTheme="majorEastAsia" w:hAnsiTheme="majorEastAsia" w:eastAsiaTheme="majorEastAsia" w:cstheme="majorEastAsia"/>
                <w:bCs/>
                <w:sz w:val="28"/>
                <w:szCs w:val="28"/>
              </w:rPr>
              <w:t>3626771731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1671"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Cs/>
                <w:sz w:val="28"/>
                <w:szCs w:val="28"/>
              </w:rPr>
              <w:t>E-mail</w:t>
            </w:r>
          </w:p>
        </w:tc>
        <w:tc>
          <w:tcPr>
            <w:tcW w:w="4841" w:type="dxa"/>
            <w:gridSpan w:val="5"/>
            <w:vAlign w:val="center"/>
          </w:tcPr>
          <w:p>
            <w:pPr>
              <w:jc w:val="center"/>
              <w:rPr>
                <w:rFonts w:asciiTheme="majorEastAsia" w:hAnsiTheme="majorEastAsia" w:eastAsiaTheme="majorEastAsia" w:cstheme="majorEastAsia"/>
                <w:b/>
                <w:sz w:val="28"/>
                <w:szCs w:val="28"/>
              </w:rPr>
            </w:pPr>
            <w:r>
              <w:fldChar w:fldCharType="begin"/>
            </w:r>
            <w:r>
              <w:instrText xml:space="preserve"> HYPERLINK "mailto:65599838@163.com" </w:instrText>
            </w:r>
            <w:r>
              <w:fldChar w:fldCharType="separate"/>
            </w:r>
            <w:r>
              <w:rPr>
                <w:rStyle w:val="5"/>
                <w:rFonts w:hint="eastAsia" w:asciiTheme="majorEastAsia" w:hAnsiTheme="majorEastAsia" w:eastAsiaTheme="majorEastAsia" w:cstheme="majorEastAsia"/>
                <w:b/>
                <w:sz w:val="28"/>
                <w:szCs w:val="28"/>
              </w:rPr>
              <w:t>6</w:t>
            </w:r>
            <w:r>
              <w:rPr>
                <w:rStyle w:val="5"/>
                <w:rFonts w:asciiTheme="majorEastAsia" w:hAnsiTheme="majorEastAsia" w:eastAsiaTheme="majorEastAsia" w:cstheme="majorEastAsia"/>
                <w:b/>
                <w:sz w:val="28"/>
                <w:szCs w:val="28"/>
              </w:rPr>
              <w:t>5599838@163.com</w:t>
            </w:r>
            <w:r>
              <w:rPr>
                <w:rStyle w:val="5"/>
                <w:rFonts w:asciiTheme="majorEastAsia" w:hAnsiTheme="majorEastAsia" w:eastAsiaTheme="majorEastAsia" w:cstheme="majorEastAsia"/>
                <w:b/>
                <w:sz w:val="28"/>
                <w:szCs w:val="28"/>
              </w:rPr>
              <w:fldChar w:fldCharType="end"/>
            </w:r>
          </w:p>
        </w:tc>
        <w:tc>
          <w:tcPr>
            <w:tcW w:w="1449" w:type="dxa"/>
            <w:vAlign w:val="center"/>
          </w:tcPr>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sz w:val="28"/>
                <w:szCs w:val="28"/>
              </w:rPr>
              <w:t>传  真</w:t>
            </w:r>
          </w:p>
        </w:tc>
        <w:tc>
          <w:tcPr>
            <w:tcW w:w="2137" w:type="dxa"/>
            <w:gridSpan w:val="2"/>
            <w:vAlign w:val="center"/>
          </w:tcPr>
          <w:p>
            <w:pPr>
              <w:jc w:val="center"/>
              <w:rPr>
                <w:rFonts w:asciiTheme="majorEastAsia" w:hAnsiTheme="majorEastAsia" w:eastAsiaTheme="majorEastAsia" w:cstheme="majorEastAsia"/>
                <w:bCs/>
                <w:sz w:val="28"/>
                <w:szCs w:val="28"/>
              </w:rPr>
            </w:pPr>
            <w:r>
              <w:rPr>
                <w:rFonts w:hint="eastAsia" w:asciiTheme="majorEastAsia" w:hAnsiTheme="majorEastAsia" w:eastAsiaTheme="majorEastAsia" w:cstheme="majorEastAsia"/>
                <w:bCs/>
                <w:sz w:val="28"/>
                <w:szCs w:val="28"/>
              </w:rPr>
              <w:t>0</w:t>
            </w:r>
            <w:r>
              <w:rPr>
                <w:rFonts w:asciiTheme="majorEastAsia" w:hAnsiTheme="majorEastAsia" w:eastAsiaTheme="majorEastAsia" w:cstheme="majorEastAsia"/>
                <w:bCs/>
                <w:sz w:val="28"/>
                <w:szCs w:val="28"/>
              </w:rPr>
              <w:t>577-65598888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2" w:hRule="exact"/>
          <w:jc w:val="center"/>
        </w:trPr>
        <w:tc>
          <w:tcPr>
            <w:tcW w:w="1671" w:type="dxa"/>
            <w:vAlign w:val="center"/>
          </w:tcPr>
          <w:p>
            <w:pPr>
              <w:spacing w:line="560" w:lineRule="exact"/>
              <w:jc w:val="center"/>
              <w:rPr>
                <w:rFonts w:ascii="仿宋_GB2312" w:eastAsia="仿宋_GB2312"/>
                <w:b/>
                <w:sz w:val="28"/>
                <w:szCs w:val="28"/>
              </w:rPr>
            </w:pPr>
            <w:r>
              <w:rPr>
                <w:rFonts w:hint="eastAsia" w:ascii="仿宋_GB2312" w:hAnsi="黑体" w:eastAsia="仿宋_GB2312" w:cs="黑体"/>
                <w:sz w:val="28"/>
                <w:szCs w:val="28"/>
              </w:rPr>
              <w:t>单位简介(300字内)</w:t>
            </w:r>
          </w:p>
        </w:tc>
        <w:tc>
          <w:tcPr>
            <w:tcW w:w="8427" w:type="dxa"/>
            <w:gridSpan w:val="8"/>
            <w:vAlign w:val="center"/>
          </w:tcPr>
          <w:p>
            <w:pPr>
              <w:spacing w:line="400" w:lineRule="exact"/>
              <w:rPr>
                <w:rFonts w:ascii="Times New Roman" w:hAnsi="Times New Roman"/>
                <w:sz w:val="24"/>
                <w:szCs w:val="24"/>
              </w:rPr>
            </w:pPr>
            <w:r>
              <w:rPr>
                <w:rFonts w:ascii="宋体" w:hAnsi="宋体"/>
                <w:sz w:val="24"/>
                <w:szCs w:val="24"/>
              </w:rPr>
              <w:t>浙江通力传动科技股份有限公司创建于</w:t>
            </w:r>
            <w:r>
              <w:rPr>
                <w:rFonts w:ascii="Times New Roman" w:hAnsi="Times New Roman"/>
                <w:sz w:val="24"/>
                <w:szCs w:val="24"/>
              </w:rPr>
              <w:t>2008</w:t>
            </w:r>
            <w:r>
              <w:rPr>
                <w:rFonts w:ascii="宋体" w:hAnsi="宋体"/>
                <w:sz w:val="24"/>
                <w:szCs w:val="24"/>
              </w:rPr>
              <w:t>年，是一家专业从事减速机研发、生产、销售及服务的国家高新技术企业。</w:t>
            </w:r>
            <w:r>
              <w:rPr>
                <w:rFonts w:hint="eastAsia" w:ascii="宋体" w:hAnsi="宋体"/>
                <w:sz w:val="24"/>
                <w:szCs w:val="24"/>
              </w:rPr>
              <w:t>多年来通力始终致力于为用户提供最佳的智能驱动解决方案。通</w:t>
            </w:r>
            <w:r>
              <w:rPr>
                <w:rFonts w:ascii="宋体" w:hAnsi="宋体"/>
                <w:sz w:val="24"/>
                <w:szCs w:val="24"/>
              </w:rPr>
              <w:t>力主导产品通用减速机、工业齿轮箱广泛应用于冶金、化工、环保、能源、制药、起重、输送、建材、粮油等国民经济的支柱产业领域。先后为中国一重、中国二重、中国中冶、中粮集团、青山控股、齐鲁制药、宁德时代、中央电视台春晚舞台等国内大型工业企业及国家重点工程项目提供高性能的配套减速机，并出口东南亚、南美、中东等国家和地区，获得国内外众多客户的首肯和赞许。</w:t>
            </w:r>
          </w:p>
          <w:p>
            <w:pPr>
              <w:ind w:firstLine="480"/>
              <w:jc w:val="center"/>
              <w:rPr>
                <w:rFonts w:ascii="仿宋_GB2312" w:eastAsia="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0098" w:type="dxa"/>
            <w:gridSpan w:val="9"/>
            <w:vAlign w:val="center"/>
          </w:tcPr>
          <w:p>
            <w:pPr>
              <w:jc w:val="center"/>
              <w:rPr>
                <w:rFonts w:ascii="仿宋_GB2312" w:eastAsia="仿宋_GB2312"/>
                <w:b/>
                <w:sz w:val="28"/>
                <w:szCs w:val="28"/>
              </w:rPr>
            </w:pPr>
            <w:r>
              <w:rPr>
                <w:rFonts w:hint="eastAsia" w:ascii="仿宋_GB2312" w:hAnsi="黑体" w:eastAsia="仿宋_GB2312" w:cs="黑体"/>
                <w:sz w:val="28"/>
                <w:szCs w:val="28"/>
              </w:rPr>
              <w:t>招   聘  信  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2158" w:type="dxa"/>
            <w:gridSpan w:val="2"/>
            <w:vAlign w:val="center"/>
          </w:tcPr>
          <w:p>
            <w:pPr>
              <w:jc w:val="center"/>
              <w:rPr>
                <w:rFonts w:ascii="仿宋_GB2312" w:hAnsi="黑体" w:eastAsia="仿宋_GB2312" w:cs="黑体"/>
                <w:sz w:val="28"/>
                <w:szCs w:val="28"/>
              </w:rPr>
            </w:pPr>
            <w:r>
              <w:rPr>
                <w:rFonts w:hint="eastAsia" w:ascii="仿宋_GB2312" w:hAnsi="黑体" w:eastAsia="仿宋_GB2312" w:cs="黑体"/>
                <w:sz w:val="28"/>
                <w:szCs w:val="28"/>
              </w:rPr>
              <w:t>岗位</w:t>
            </w:r>
          </w:p>
        </w:tc>
        <w:tc>
          <w:tcPr>
            <w:tcW w:w="890" w:type="dxa"/>
            <w:vAlign w:val="center"/>
          </w:tcPr>
          <w:p>
            <w:pPr>
              <w:jc w:val="center"/>
              <w:rPr>
                <w:rFonts w:ascii="仿宋_GB2312" w:hAnsi="黑体" w:eastAsia="仿宋_GB2312" w:cs="黑体"/>
                <w:sz w:val="28"/>
                <w:szCs w:val="28"/>
              </w:rPr>
            </w:pPr>
            <w:r>
              <w:rPr>
                <w:rFonts w:hint="eastAsia" w:ascii="仿宋_GB2312" w:hAnsi="黑体" w:eastAsia="仿宋_GB2312" w:cs="黑体"/>
                <w:sz w:val="28"/>
                <w:szCs w:val="28"/>
              </w:rPr>
              <w:t>人数</w:t>
            </w:r>
          </w:p>
        </w:tc>
        <w:tc>
          <w:tcPr>
            <w:tcW w:w="1944" w:type="dxa"/>
            <w:gridSpan w:val="2"/>
            <w:vAlign w:val="center"/>
          </w:tcPr>
          <w:p>
            <w:pPr>
              <w:jc w:val="center"/>
              <w:rPr>
                <w:rFonts w:ascii="仿宋_GB2312" w:hAnsi="黑体" w:eastAsia="仿宋_GB2312" w:cs="黑体"/>
                <w:sz w:val="28"/>
                <w:szCs w:val="28"/>
              </w:rPr>
            </w:pPr>
            <w:r>
              <w:rPr>
                <w:rFonts w:hint="eastAsia" w:ascii="仿宋_GB2312" w:hAnsi="黑体" w:eastAsia="仿宋_GB2312" w:cs="黑体"/>
                <w:sz w:val="28"/>
                <w:szCs w:val="28"/>
              </w:rPr>
              <w:t>学历要求</w:t>
            </w:r>
          </w:p>
        </w:tc>
        <w:tc>
          <w:tcPr>
            <w:tcW w:w="3074" w:type="dxa"/>
            <w:gridSpan w:val="3"/>
            <w:vAlign w:val="center"/>
          </w:tcPr>
          <w:p>
            <w:pPr>
              <w:jc w:val="center"/>
              <w:rPr>
                <w:rFonts w:ascii="仿宋_GB2312" w:hAnsi="黑体" w:eastAsia="仿宋_GB2312" w:cs="黑体"/>
                <w:sz w:val="28"/>
                <w:szCs w:val="28"/>
              </w:rPr>
            </w:pPr>
            <w:r>
              <w:rPr>
                <w:rFonts w:hint="eastAsia" w:ascii="仿宋_GB2312" w:hAnsi="黑体" w:eastAsia="仿宋_GB2312" w:cs="黑体"/>
                <w:sz w:val="28"/>
                <w:szCs w:val="28"/>
              </w:rPr>
              <w:t>专业要求</w:t>
            </w:r>
          </w:p>
        </w:tc>
        <w:tc>
          <w:tcPr>
            <w:tcW w:w="2032" w:type="dxa"/>
            <w:vAlign w:val="center"/>
          </w:tcPr>
          <w:p>
            <w:pPr>
              <w:jc w:val="center"/>
              <w:rPr>
                <w:rFonts w:ascii="仿宋_GB2312" w:hAnsi="黑体" w:eastAsia="仿宋_GB2312" w:cs="黑体"/>
                <w:sz w:val="28"/>
                <w:szCs w:val="28"/>
              </w:rPr>
            </w:pPr>
            <w:r>
              <w:rPr>
                <w:rFonts w:hint="eastAsia" w:ascii="仿宋_GB2312" w:hAnsi="黑体" w:eastAsia="仿宋_GB2312" w:cs="黑体"/>
                <w:sz w:val="28"/>
                <w:szCs w:val="28"/>
              </w:rPr>
              <w:t>薪资(月薪)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exact"/>
          <w:jc w:val="center"/>
        </w:trPr>
        <w:tc>
          <w:tcPr>
            <w:tcW w:w="2158" w:type="dxa"/>
            <w:gridSpan w:val="2"/>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销售经理</w:t>
            </w:r>
          </w:p>
        </w:tc>
        <w:tc>
          <w:tcPr>
            <w:tcW w:w="890"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w:t>
            </w:r>
            <w:r>
              <w:rPr>
                <w:rFonts w:ascii="仿宋_GB2312" w:hAnsi="仿宋_GB2312" w:eastAsia="仿宋_GB2312" w:cs="仿宋_GB2312"/>
                <w:bCs/>
                <w:sz w:val="28"/>
                <w:szCs w:val="28"/>
              </w:rPr>
              <w:t>0</w:t>
            </w:r>
          </w:p>
        </w:tc>
        <w:tc>
          <w:tcPr>
            <w:tcW w:w="1944" w:type="dxa"/>
            <w:gridSpan w:val="2"/>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本科以上</w:t>
            </w:r>
          </w:p>
        </w:tc>
        <w:tc>
          <w:tcPr>
            <w:tcW w:w="3074" w:type="dxa"/>
            <w:gridSpan w:val="3"/>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工商管理、市场营销、机械自动化等相关专业毕业优先</w:t>
            </w:r>
          </w:p>
        </w:tc>
        <w:tc>
          <w:tcPr>
            <w:tcW w:w="2032"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w:t>
            </w:r>
            <w:r>
              <w:rPr>
                <w:rFonts w:ascii="仿宋_GB2312" w:hAnsi="仿宋_GB2312" w:eastAsia="仿宋_GB2312" w:cs="仿宋_GB2312"/>
                <w:bCs/>
                <w:sz w:val="28"/>
                <w:szCs w:val="28"/>
              </w:rPr>
              <w:t>000-10000</w:t>
            </w:r>
            <w:r>
              <w:rPr>
                <w:rFonts w:hint="eastAsia" w:ascii="Microsoft YaHei UI" w:hAnsi="Microsoft YaHei UI" w:eastAsia="Microsoft YaHei UI"/>
                <w:color w:val="6A6A6A"/>
                <w:spacing w:val="8"/>
                <w:szCs w:val="21"/>
                <w:shd w:val="clear" w:color="auto" w:fill="FFFFFF"/>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exact"/>
          <w:jc w:val="center"/>
        </w:trPr>
        <w:tc>
          <w:tcPr>
            <w:tcW w:w="2158" w:type="dxa"/>
            <w:gridSpan w:val="2"/>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技术工程师</w:t>
            </w:r>
          </w:p>
        </w:tc>
        <w:tc>
          <w:tcPr>
            <w:tcW w:w="890"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5</w:t>
            </w:r>
          </w:p>
        </w:tc>
        <w:tc>
          <w:tcPr>
            <w:tcW w:w="1944" w:type="dxa"/>
            <w:gridSpan w:val="2"/>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本科以上</w:t>
            </w:r>
          </w:p>
        </w:tc>
        <w:tc>
          <w:tcPr>
            <w:tcW w:w="3074" w:type="dxa"/>
            <w:gridSpan w:val="3"/>
            <w:vAlign w:val="center"/>
          </w:tcPr>
          <w:p>
            <w:pPr>
              <w:jc w:val="center"/>
              <w:rPr>
                <w:rFonts w:ascii="仿宋_GB2312" w:hAnsi="仿宋_GB2312" w:eastAsia="仿宋_GB2312" w:cs="仿宋_GB2312"/>
                <w:bCs/>
                <w:sz w:val="28"/>
                <w:szCs w:val="28"/>
              </w:rPr>
            </w:pPr>
            <w:r>
              <w:rPr>
                <w:rFonts w:hint="eastAsia" w:ascii="Microsoft YaHei UI" w:hAnsi="Microsoft YaHei UI" w:eastAsia="Microsoft YaHei UI"/>
                <w:color w:val="333333"/>
                <w:spacing w:val="23"/>
                <w:szCs w:val="21"/>
                <w:shd w:val="clear" w:color="auto" w:fill="FFFFFF"/>
              </w:rPr>
              <w:t>机械制造、机械设计、机械自动化等相关专业毕业者优先</w:t>
            </w:r>
          </w:p>
        </w:tc>
        <w:tc>
          <w:tcPr>
            <w:tcW w:w="2032" w:type="dxa"/>
            <w:vAlign w:val="center"/>
          </w:tcPr>
          <w:p>
            <w:pPr>
              <w:jc w:val="center"/>
              <w:rPr>
                <w:rFonts w:ascii="仿宋_GB2312" w:hAnsi="仿宋_GB2312" w:eastAsia="仿宋_GB2312" w:cs="仿宋_GB2312"/>
                <w:bCs/>
                <w:sz w:val="28"/>
                <w:szCs w:val="28"/>
              </w:rPr>
            </w:pPr>
            <w:r>
              <w:rPr>
                <w:rFonts w:hint="eastAsia" w:ascii="Microsoft YaHei UI" w:hAnsi="Microsoft YaHei UI" w:eastAsia="Microsoft YaHei UI"/>
                <w:color w:val="6A6A6A"/>
                <w:spacing w:val="8"/>
                <w:szCs w:val="21"/>
                <w:shd w:val="clear" w:color="auto" w:fill="FFFFFF"/>
              </w:rPr>
              <w:t>5000-12000元/月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2158" w:type="dxa"/>
            <w:gridSpan w:val="2"/>
            <w:vAlign w:val="center"/>
          </w:tcPr>
          <w:p>
            <w:pPr>
              <w:jc w:val="center"/>
              <w:rPr>
                <w:rFonts w:ascii="仿宋_GB2312" w:hAnsi="仿宋_GB2312" w:eastAsia="仿宋_GB2312" w:cs="仿宋_GB2312"/>
                <w:bCs/>
                <w:sz w:val="28"/>
                <w:szCs w:val="28"/>
              </w:rPr>
            </w:pPr>
          </w:p>
        </w:tc>
        <w:tc>
          <w:tcPr>
            <w:tcW w:w="890" w:type="dxa"/>
            <w:vAlign w:val="center"/>
          </w:tcPr>
          <w:p>
            <w:pPr>
              <w:jc w:val="center"/>
              <w:rPr>
                <w:rFonts w:ascii="仿宋_GB2312" w:hAnsi="仿宋_GB2312" w:eastAsia="仿宋_GB2312" w:cs="仿宋_GB2312"/>
                <w:bCs/>
                <w:sz w:val="28"/>
                <w:szCs w:val="28"/>
              </w:rPr>
            </w:pPr>
          </w:p>
        </w:tc>
        <w:tc>
          <w:tcPr>
            <w:tcW w:w="1944" w:type="dxa"/>
            <w:gridSpan w:val="2"/>
            <w:vAlign w:val="center"/>
          </w:tcPr>
          <w:p>
            <w:pPr>
              <w:jc w:val="center"/>
              <w:rPr>
                <w:rFonts w:ascii="仿宋_GB2312" w:hAnsi="仿宋_GB2312" w:eastAsia="仿宋_GB2312" w:cs="仿宋_GB2312"/>
                <w:bCs/>
                <w:sz w:val="28"/>
                <w:szCs w:val="28"/>
              </w:rPr>
            </w:pPr>
          </w:p>
        </w:tc>
        <w:tc>
          <w:tcPr>
            <w:tcW w:w="3074" w:type="dxa"/>
            <w:gridSpan w:val="3"/>
            <w:vAlign w:val="center"/>
          </w:tcPr>
          <w:p>
            <w:pPr>
              <w:jc w:val="center"/>
              <w:rPr>
                <w:rFonts w:ascii="仿宋_GB2312" w:hAnsi="仿宋_GB2312" w:eastAsia="仿宋_GB2312" w:cs="仿宋_GB2312"/>
                <w:bCs/>
                <w:sz w:val="28"/>
                <w:szCs w:val="28"/>
              </w:rPr>
            </w:pPr>
          </w:p>
        </w:tc>
        <w:tc>
          <w:tcPr>
            <w:tcW w:w="2032" w:type="dxa"/>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2158" w:type="dxa"/>
            <w:gridSpan w:val="2"/>
            <w:vAlign w:val="center"/>
          </w:tcPr>
          <w:p>
            <w:pPr>
              <w:jc w:val="center"/>
              <w:rPr>
                <w:rFonts w:ascii="仿宋_GB2312" w:hAnsi="仿宋_GB2312" w:eastAsia="仿宋_GB2312" w:cs="仿宋_GB2312"/>
                <w:bCs/>
                <w:sz w:val="28"/>
                <w:szCs w:val="28"/>
              </w:rPr>
            </w:pPr>
          </w:p>
        </w:tc>
        <w:tc>
          <w:tcPr>
            <w:tcW w:w="890" w:type="dxa"/>
            <w:vAlign w:val="center"/>
          </w:tcPr>
          <w:p>
            <w:pPr>
              <w:jc w:val="center"/>
              <w:rPr>
                <w:rFonts w:ascii="仿宋_GB2312" w:hAnsi="仿宋_GB2312" w:eastAsia="仿宋_GB2312" w:cs="仿宋_GB2312"/>
                <w:bCs/>
                <w:sz w:val="28"/>
                <w:szCs w:val="28"/>
              </w:rPr>
            </w:pPr>
          </w:p>
        </w:tc>
        <w:tc>
          <w:tcPr>
            <w:tcW w:w="1944" w:type="dxa"/>
            <w:gridSpan w:val="2"/>
            <w:vAlign w:val="center"/>
          </w:tcPr>
          <w:p>
            <w:pPr>
              <w:jc w:val="center"/>
              <w:rPr>
                <w:rFonts w:ascii="仿宋_GB2312" w:hAnsi="仿宋_GB2312" w:eastAsia="仿宋_GB2312" w:cs="仿宋_GB2312"/>
                <w:bCs/>
                <w:sz w:val="28"/>
                <w:szCs w:val="28"/>
              </w:rPr>
            </w:pPr>
          </w:p>
        </w:tc>
        <w:tc>
          <w:tcPr>
            <w:tcW w:w="3074" w:type="dxa"/>
            <w:gridSpan w:val="3"/>
            <w:vAlign w:val="center"/>
          </w:tcPr>
          <w:p>
            <w:pPr>
              <w:jc w:val="center"/>
              <w:rPr>
                <w:rFonts w:ascii="仿宋_GB2312" w:hAnsi="仿宋_GB2312" w:eastAsia="仿宋_GB2312" w:cs="仿宋_GB2312"/>
                <w:bCs/>
                <w:sz w:val="28"/>
                <w:szCs w:val="28"/>
              </w:rPr>
            </w:pPr>
          </w:p>
        </w:tc>
        <w:tc>
          <w:tcPr>
            <w:tcW w:w="2032" w:type="dxa"/>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10098" w:type="dxa"/>
            <w:gridSpan w:val="9"/>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1" w:hRule="exact"/>
          <w:jc w:val="center"/>
        </w:trPr>
        <w:tc>
          <w:tcPr>
            <w:tcW w:w="10098" w:type="dxa"/>
            <w:gridSpan w:val="9"/>
            <w:vAlign w:val="center"/>
          </w:tcPr>
          <w:p>
            <w:pPr>
              <w:jc w:val="cente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r>
              <w:drawing>
                <wp:inline distT="0" distB="0" distL="0" distR="0">
                  <wp:extent cx="6275070" cy="4422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275070" cy="4422775"/>
                          </a:xfrm>
                          <a:prstGeom prst="rect">
                            <a:avLst/>
                          </a:prstGeom>
                        </pic:spPr>
                      </pic:pic>
                    </a:graphicData>
                  </a:graphic>
                </wp:inline>
              </w:drawing>
            </w: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p>
            <w:pPr>
              <w:pStyle w:val="2"/>
              <w:jc w:val="center"/>
              <w:rPr>
                <w:rFonts w:ascii="仿宋_GB2312" w:hAnsi="仿宋_GB2312" w:eastAsia="仿宋_GB2312" w:cs="仿宋_GB2312"/>
                <w:bCs/>
                <w:sz w:val="28"/>
                <w:szCs w:val="28"/>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0000000000000000000"/>
    <w:charset w:val="00"/>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NGEwYjRjZjcwMDIzMzJiMjM4ZDk1NDRmMTE3ZTYifQ=="/>
  </w:docVars>
  <w:rsids>
    <w:rsidRoot w:val="00E134C1"/>
    <w:rsid w:val="00570AE2"/>
    <w:rsid w:val="00E134C1"/>
    <w:rsid w:val="08787922"/>
    <w:rsid w:val="187C3D68"/>
    <w:rsid w:val="2B8C7BFC"/>
    <w:rsid w:val="3DB06B1D"/>
    <w:rsid w:val="46C66001"/>
    <w:rsid w:val="48337AEF"/>
    <w:rsid w:val="52EE6EAF"/>
    <w:rsid w:val="537F180A"/>
    <w:rsid w:val="540369A9"/>
    <w:rsid w:val="5EA65C7D"/>
    <w:rsid w:val="6FA4221E"/>
    <w:rsid w:val="78104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endnote text"/>
    <w:basedOn w:val="1"/>
    <w:qFormat/>
    <w:uiPriority w:val="0"/>
    <w:rPr>
      <w:szCs w:val="24"/>
    </w:rPr>
  </w:style>
  <w:style w:type="character" w:styleId="5">
    <w:name w:val="Hyperlink"/>
    <w:basedOn w:val="4"/>
    <w:qFormat/>
    <w:uiPriority w:val="0"/>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Pages>
  <Words>95</Words>
  <Characters>547</Characters>
  <Lines>4</Lines>
  <Paragraphs>1</Paragraphs>
  <TotalTime>6</TotalTime>
  <ScaleCrop>false</ScaleCrop>
  <LinksUpToDate>false</LinksUpToDate>
  <CharactersWithSpaces>641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群英人才网徐慧13616662159</cp:lastModifiedBy>
  <dcterms:modified xsi:type="dcterms:W3CDTF">2023-09-13T01:52:01Z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ABB521C939A54C1EAA7C85BC78855B84_13</vt:lpwstr>
  </property>
</Properties>
</file>