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738" w:rsidRPr="00D62738" w:rsidRDefault="00D62738" w:rsidP="00D62738">
      <w:pPr>
        <w:widowControl/>
        <w:shd w:val="clear" w:color="auto" w:fill="FFFFFF"/>
        <w:spacing w:line="360" w:lineRule="atLeast"/>
        <w:ind w:firstLine="336"/>
        <w:jc w:val="center"/>
        <w:rPr>
          <w:rFonts w:asciiTheme="minorEastAsia" w:hAnsiTheme="minorEastAsia" w:cs="宋体"/>
          <w:b/>
          <w:color w:val="333333"/>
          <w:kern w:val="0"/>
          <w:sz w:val="44"/>
          <w:szCs w:val="44"/>
        </w:rPr>
      </w:pPr>
      <w:r w:rsidRPr="00D62738">
        <w:rPr>
          <w:rFonts w:asciiTheme="minorEastAsia" w:hAnsiTheme="minorEastAsia" w:cs="宋体" w:hint="eastAsia"/>
          <w:b/>
          <w:color w:val="333333"/>
          <w:kern w:val="0"/>
          <w:sz w:val="44"/>
          <w:szCs w:val="44"/>
        </w:rPr>
        <w:t>中国电建集团简介</w:t>
      </w:r>
    </w:p>
    <w:p w:rsidR="00AC5BEC" w:rsidRPr="00AC5BEC" w:rsidRDefault="00AC5BEC" w:rsidP="00AC5BEC">
      <w:pPr>
        <w:widowControl/>
        <w:shd w:val="clear" w:color="auto" w:fill="FFFFFF"/>
        <w:spacing w:line="360" w:lineRule="atLeast"/>
        <w:ind w:firstLine="336"/>
        <w:jc w:val="left"/>
        <w:rPr>
          <w:rFonts w:asciiTheme="minorEastAsia" w:hAnsiTheme="minorEastAsia" w:cs="宋体"/>
          <w:color w:val="333333"/>
          <w:kern w:val="0"/>
          <w:sz w:val="28"/>
          <w:szCs w:val="28"/>
        </w:rPr>
      </w:pPr>
      <w:r w:rsidRPr="00AC5BEC">
        <w:rPr>
          <w:rFonts w:asciiTheme="minorEastAsia" w:hAnsiTheme="minorEastAsia" w:cs="宋体" w:hint="eastAsia"/>
          <w:color w:val="333333"/>
          <w:kern w:val="0"/>
          <w:sz w:val="28"/>
          <w:szCs w:val="28"/>
        </w:rPr>
        <w:t>中国电力建设集团有限公司（简称：中国电建）是经国务院批准，于2011年9月29日在中国水利水电建设集团公司、中国水电工程顾问集团公司和国家电网公司、中国南方电网有限责任公司所属的14个省（市、区）电力勘测设计、工程、装备制造企业基础上组建的国有独资公司。</w:t>
      </w:r>
    </w:p>
    <w:p w:rsidR="00AC5BEC" w:rsidRPr="00AC5BEC" w:rsidRDefault="00AC5BEC" w:rsidP="00AC5BEC">
      <w:pPr>
        <w:widowControl/>
        <w:shd w:val="clear" w:color="auto" w:fill="FFFFFF"/>
        <w:spacing w:line="360" w:lineRule="atLeast"/>
        <w:ind w:firstLine="336"/>
        <w:jc w:val="left"/>
        <w:rPr>
          <w:rFonts w:asciiTheme="minorEastAsia" w:hAnsiTheme="minorEastAsia" w:cs="宋体"/>
          <w:color w:val="333333"/>
          <w:kern w:val="0"/>
          <w:sz w:val="28"/>
          <w:szCs w:val="28"/>
        </w:rPr>
      </w:pPr>
      <w:r w:rsidRPr="00AC5BEC">
        <w:rPr>
          <w:rFonts w:asciiTheme="minorEastAsia" w:hAnsiTheme="minorEastAsia" w:cs="宋体" w:hint="eastAsia"/>
          <w:color w:val="333333"/>
          <w:kern w:val="0"/>
          <w:sz w:val="28"/>
          <w:szCs w:val="28"/>
        </w:rPr>
        <w:t>中国电建是全球能源电力、水资源与环境、基础设施及房地产领域提供全产业链集成、整体解决方案服务的综合性特大型建筑集团，主营业务横向跨越国内外能源电力、水利、铁路（地铁）、公路、机场、房屋建筑、水环境治理、市政基础设施及大土木、大建筑多行业，纵向覆盖投资开发、规划设计、工程承包、装备制造、项目运营等工程建设及运营全过程，具有</w:t>
      </w:r>
      <w:proofErr w:type="gramStart"/>
      <w:r w:rsidRPr="00AC5BEC">
        <w:rPr>
          <w:rFonts w:asciiTheme="minorEastAsia" w:hAnsiTheme="minorEastAsia" w:cs="宋体" w:hint="eastAsia"/>
          <w:color w:val="333333"/>
          <w:kern w:val="0"/>
          <w:sz w:val="28"/>
          <w:szCs w:val="28"/>
        </w:rPr>
        <w:t>懂水熟电</w:t>
      </w:r>
      <w:proofErr w:type="gramEnd"/>
      <w:r w:rsidRPr="00AC5BEC">
        <w:rPr>
          <w:rFonts w:asciiTheme="minorEastAsia" w:hAnsiTheme="minorEastAsia" w:cs="宋体" w:hint="eastAsia"/>
          <w:color w:val="333333"/>
          <w:kern w:val="0"/>
          <w:sz w:val="28"/>
          <w:szCs w:val="28"/>
        </w:rPr>
        <w:t>的核心能力和产业链一体化的突出优势。此外，受国家有关部委委托，承担了国家水电、风电、太阳能等清洁能源和新能源的规划、审查等职能。电力建设（规划、设计、施工等）能力和业绩位居全球行业第一。</w:t>
      </w:r>
    </w:p>
    <w:p w:rsidR="00991C3F" w:rsidRPr="00D62738" w:rsidRDefault="00AC5BEC">
      <w:pPr>
        <w:rPr>
          <w:rFonts w:asciiTheme="minorEastAsia" w:hAnsiTheme="minorEastAsia"/>
          <w:color w:val="333333"/>
          <w:sz w:val="28"/>
          <w:szCs w:val="28"/>
        </w:rPr>
      </w:pPr>
      <w:r w:rsidRPr="00D62738">
        <w:rPr>
          <w:rFonts w:asciiTheme="minorEastAsia" w:hAnsiTheme="minorEastAsia" w:hint="eastAsia"/>
          <w:color w:val="333333"/>
          <w:sz w:val="28"/>
          <w:szCs w:val="28"/>
        </w:rPr>
        <w:t>服务“一带一路”建设的龙头企业，全球清洁低碳能源、水资源与环境建设领域的引领者，全球基础设施互联互通的骨干力量，为海内外客户提供全产业链集成、整体解决方案服务的工程建设投资发展商。战略目标是：致力成为能源电力、水资源与环境、基础设施领域具有国际竞争力的质量效益型世界一流综合性建设投资集团。战略方针是：发挥</w:t>
      </w:r>
      <w:proofErr w:type="gramStart"/>
      <w:r w:rsidRPr="00D62738">
        <w:rPr>
          <w:rFonts w:asciiTheme="minorEastAsia" w:hAnsiTheme="minorEastAsia" w:hint="eastAsia"/>
          <w:color w:val="333333"/>
          <w:sz w:val="28"/>
          <w:szCs w:val="28"/>
        </w:rPr>
        <w:t>懂水熟电核心</w:t>
      </w:r>
      <w:proofErr w:type="gramEnd"/>
      <w:r w:rsidRPr="00D62738">
        <w:rPr>
          <w:rFonts w:asciiTheme="minorEastAsia" w:hAnsiTheme="minorEastAsia" w:hint="eastAsia"/>
          <w:color w:val="333333"/>
          <w:sz w:val="28"/>
          <w:szCs w:val="28"/>
        </w:rPr>
        <w:t>能力和产业链一体化优势，统筹国际国内两个市场，聚焦能源电力、水资源与环境、基础设施三大核心领域，深入实施“深</w:t>
      </w:r>
      <w:r w:rsidRPr="00D62738">
        <w:rPr>
          <w:rFonts w:asciiTheme="minorEastAsia" w:hAnsiTheme="minorEastAsia" w:hint="eastAsia"/>
          <w:color w:val="333333"/>
          <w:sz w:val="28"/>
          <w:szCs w:val="28"/>
        </w:rPr>
        <w:lastRenderedPageBreak/>
        <w:t>化改革、全球发展、创新驱动、转型升级、人才强企”五大战略，协同推进“产融结合、优势多元、产业联动、规划先行、精益运营、风险平衡、产业培育、文化凝聚”八大举措。</w:t>
      </w:r>
    </w:p>
    <w:p w:rsidR="00AC5BEC" w:rsidRPr="00AC5BEC" w:rsidRDefault="00AC5BEC" w:rsidP="00AC5BEC">
      <w:pPr>
        <w:widowControl/>
        <w:shd w:val="clear" w:color="auto" w:fill="FFFFFF"/>
        <w:spacing w:after="100" w:afterAutospacing="1" w:line="336" w:lineRule="atLeast"/>
        <w:ind w:firstLine="336"/>
        <w:jc w:val="left"/>
        <w:rPr>
          <w:rFonts w:asciiTheme="minorEastAsia" w:hAnsiTheme="minorEastAsia" w:cs="宋体"/>
          <w:color w:val="333333"/>
          <w:kern w:val="0"/>
          <w:sz w:val="28"/>
          <w:szCs w:val="28"/>
        </w:rPr>
      </w:pPr>
      <w:r w:rsidRPr="00AC5BEC">
        <w:rPr>
          <w:rFonts w:asciiTheme="minorEastAsia" w:hAnsiTheme="minorEastAsia" w:cs="宋体" w:hint="eastAsia"/>
          <w:color w:val="333333"/>
          <w:kern w:val="0"/>
          <w:sz w:val="28"/>
          <w:szCs w:val="28"/>
        </w:rPr>
        <w:t>多年来，中国电建在水利水电设计建设及新能源开发、火电电网、城市、交通、民生基础设施、水资源与环境、装备制造与设备租赁领域，为业主、为社会奉献了一系列令世人瞩目的精品工程：</w:t>
      </w:r>
    </w:p>
    <w:tbl>
      <w:tblPr>
        <w:tblW w:w="8400" w:type="dxa"/>
        <w:tblCellSpacing w:w="0" w:type="dxa"/>
        <w:tblCellMar>
          <w:left w:w="0" w:type="dxa"/>
          <w:right w:w="0" w:type="dxa"/>
        </w:tblCellMar>
        <w:tblLook w:val="04A0"/>
      </w:tblPr>
      <w:tblGrid>
        <w:gridCol w:w="1560"/>
        <w:gridCol w:w="6840"/>
      </w:tblGrid>
      <w:tr w:rsidR="00AC5BEC" w:rsidRPr="00AC5BEC" w:rsidTr="00D62738">
        <w:trPr>
          <w:trHeight w:val="600"/>
          <w:tblCellSpacing w:w="0" w:type="dxa"/>
        </w:trPr>
        <w:tc>
          <w:tcPr>
            <w:tcW w:w="1560" w:type="dxa"/>
            <w:tcBorders>
              <w:top w:val="single" w:sz="12" w:space="0" w:color="E60012"/>
              <w:bottom w:val="dashed" w:sz="4" w:space="0" w:color="E3E3E3"/>
              <w:right w:val="dashed" w:sz="4" w:space="0" w:color="E3E3E3"/>
            </w:tcBorders>
            <w:vAlign w:val="center"/>
            <w:hideMark/>
          </w:tcPr>
          <w:p w:rsidR="00AC5BEC" w:rsidRPr="00AC5BEC" w:rsidRDefault="00AC5BEC" w:rsidP="00AC5BEC">
            <w:pPr>
              <w:widowControl/>
              <w:spacing w:line="432" w:lineRule="auto"/>
              <w:jc w:val="center"/>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资产总额</w:t>
            </w:r>
          </w:p>
        </w:tc>
        <w:tc>
          <w:tcPr>
            <w:tcW w:w="6840" w:type="dxa"/>
            <w:tcBorders>
              <w:top w:val="single" w:sz="12" w:space="0" w:color="034491"/>
              <w:bottom w:val="dashed" w:sz="4" w:space="0" w:color="E3E3E3"/>
            </w:tcBorders>
            <w:tcMar>
              <w:top w:w="0" w:type="dxa"/>
              <w:left w:w="240" w:type="dxa"/>
              <w:bottom w:w="0" w:type="dxa"/>
              <w:right w:w="0" w:type="dxa"/>
            </w:tcMar>
            <w:vAlign w:val="center"/>
            <w:hideMark/>
          </w:tcPr>
          <w:p w:rsidR="00AC5BEC" w:rsidRPr="00AC5BEC" w:rsidRDefault="00AC5BEC" w:rsidP="00AC5BEC">
            <w:pPr>
              <w:widowControl/>
              <w:spacing w:line="432" w:lineRule="auto"/>
              <w:ind w:firstLine="264"/>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注册资本金300亿</w:t>
            </w:r>
          </w:p>
        </w:tc>
      </w:tr>
      <w:tr w:rsidR="00AC5BEC" w:rsidRPr="00AC5BEC" w:rsidTr="00D62738">
        <w:trPr>
          <w:trHeight w:val="600"/>
          <w:tblCellSpacing w:w="0" w:type="dxa"/>
        </w:trPr>
        <w:tc>
          <w:tcPr>
            <w:tcW w:w="1560" w:type="dxa"/>
            <w:tcBorders>
              <w:bottom w:val="dashed" w:sz="4" w:space="0" w:color="E3E3E3"/>
              <w:right w:val="dashed" w:sz="4" w:space="0" w:color="E3E3E3"/>
            </w:tcBorders>
            <w:vAlign w:val="center"/>
            <w:hideMark/>
          </w:tcPr>
          <w:p w:rsidR="00AC5BEC" w:rsidRPr="00AC5BEC" w:rsidRDefault="00AC5BEC" w:rsidP="00AC5BEC">
            <w:pPr>
              <w:widowControl/>
              <w:spacing w:line="432" w:lineRule="auto"/>
              <w:jc w:val="center"/>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企业员工</w:t>
            </w:r>
          </w:p>
        </w:tc>
        <w:tc>
          <w:tcPr>
            <w:tcW w:w="6840" w:type="dxa"/>
            <w:tcBorders>
              <w:bottom w:val="dashed" w:sz="4" w:space="0" w:color="E3E3E3"/>
            </w:tcBorders>
            <w:tcMar>
              <w:top w:w="0" w:type="dxa"/>
              <w:left w:w="240" w:type="dxa"/>
              <w:bottom w:w="0" w:type="dxa"/>
              <w:right w:w="0" w:type="dxa"/>
            </w:tcMar>
            <w:vAlign w:val="center"/>
            <w:hideMark/>
          </w:tcPr>
          <w:p w:rsidR="00AC5BEC" w:rsidRPr="00AC5BEC" w:rsidRDefault="00AC5BEC" w:rsidP="00AC5BEC">
            <w:pPr>
              <w:widowControl/>
              <w:spacing w:line="432" w:lineRule="auto"/>
              <w:ind w:firstLine="264"/>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员工18.6万人</w:t>
            </w:r>
          </w:p>
        </w:tc>
      </w:tr>
      <w:tr w:rsidR="00AC5BEC" w:rsidRPr="00AC5BEC" w:rsidTr="00D62738">
        <w:trPr>
          <w:trHeight w:val="600"/>
          <w:tblCellSpacing w:w="0" w:type="dxa"/>
        </w:trPr>
        <w:tc>
          <w:tcPr>
            <w:tcW w:w="1560" w:type="dxa"/>
            <w:tcBorders>
              <w:bottom w:val="dashed" w:sz="4" w:space="0" w:color="E3E3E3"/>
              <w:right w:val="dashed" w:sz="4" w:space="0" w:color="E3E3E3"/>
            </w:tcBorders>
            <w:vAlign w:val="center"/>
            <w:hideMark/>
          </w:tcPr>
          <w:p w:rsidR="00AC5BEC" w:rsidRPr="00AC5BEC" w:rsidRDefault="00AC5BEC" w:rsidP="00AC5BEC">
            <w:pPr>
              <w:widowControl/>
              <w:spacing w:line="432" w:lineRule="auto"/>
              <w:jc w:val="center"/>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经营状况</w:t>
            </w:r>
          </w:p>
        </w:tc>
        <w:tc>
          <w:tcPr>
            <w:tcW w:w="6840" w:type="dxa"/>
            <w:tcBorders>
              <w:bottom w:val="dashed" w:sz="4" w:space="0" w:color="E3E3E3"/>
            </w:tcBorders>
            <w:tcMar>
              <w:top w:w="0" w:type="dxa"/>
              <w:left w:w="240" w:type="dxa"/>
              <w:bottom w:w="0" w:type="dxa"/>
              <w:right w:w="0" w:type="dxa"/>
            </w:tcMar>
            <w:vAlign w:val="center"/>
            <w:hideMark/>
          </w:tcPr>
          <w:p w:rsidR="00AC5BEC" w:rsidRPr="00AC5BEC" w:rsidRDefault="00AC5BEC" w:rsidP="00AC5BEC">
            <w:pPr>
              <w:widowControl/>
              <w:spacing w:before="100" w:beforeAutospacing="1" w:after="100" w:afterAutospacing="1" w:line="432" w:lineRule="auto"/>
              <w:ind w:firstLine="264"/>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2017年实现营业收入3550亿元、利润总额130亿元，年末资产总额7098亿元。</w:t>
            </w:r>
          </w:p>
        </w:tc>
      </w:tr>
      <w:tr w:rsidR="00AC5BEC" w:rsidRPr="00AC5BEC" w:rsidTr="00D62738">
        <w:trPr>
          <w:trHeight w:val="600"/>
          <w:tblCellSpacing w:w="0" w:type="dxa"/>
        </w:trPr>
        <w:tc>
          <w:tcPr>
            <w:tcW w:w="1560" w:type="dxa"/>
            <w:tcBorders>
              <w:bottom w:val="dashed" w:sz="4" w:space="0" w:color="E3E3E3"/>
              <w:right w:val="dashed" w:sz="4" w:space="0" w:color="E3E3E3"/>
            </w:tcBorders>
            <w:hideMark/>
          </w:tcPr>
          <w:p w:rsidR="00AC5BEC" w:rsidRPr="00AC5BEC" w:rsidRDefault="00AC5BEC" w:rsidP="00AC5BEC">
            <w:pPr>
              <w:widowControl/>
              <w:spacing w:line="600" w:lineRule="atLeast"/>
              <w:jc w:val="center"/>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企业荣誉</w:t>
            </w:r>
          </w:p>
        </w:tc>
        <w:tc>
          <w:tcPr>
            <w:tcW w:w="6840" w:type="dxa"/>
            <w:tcBorders>
              <w:bottom w:val="dashed" w:sz="4" w:space="0" w:color="E3E3E3"/>
            </w:tcBorders>
            <w:vAlign w:val="center"/>
            <w:hideMark/>
          </w:tcPr>
          <w:p w:rsidR="00AC5BEC" w:rsidRPr="00AC5BEC" w:rsidRDefault="00AC5BEC" w:rsidP="00AC5BEC">
            <w:pPr>
              <w:widowControl/>
              <w:spacing w:line="288" w:lineRule="atLeast"/>
              <w:ind w:firstLine="216"/>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位居2018年《财富》世界500强企业第182位、201</w:t>
            </w:r>
            <w:r w:rsidR="007F0468">
              <w:rPr>
                <w:rFonts w:asciiTheme="minorEastAsia" w:hAnsiTheme="minorEastAsia" w:cs="宋体" w:hint="eastAsia"/>
                <w:color w:val="3D3D3D"/>
                <w:kern w:val="0"/>
                <w:sz w:val="24"/>
                <w:szCs w:val="24"/>
              </w:rPr>
              <w:t>8</w:t>
            </w:r>
            <w:r w:rsidRPr="00AC5BEC">
              <w:rPr>
                <w:rFonts w:asciiTheme="minorEastAsia" w:hAnsiTheme="minorEastAsia" w:cs="宋体" w:hint="eastAsia"/>
                <w:color w:val="3D3D3D"/>
                <w:kern w:val="0"/>
                <w:sz w:val="24"/>
                <w:szCs w:val="24"/>
              </w:rPr>
              <w:t>年中国企业500强第4</w:t>
            </w:r>
            <w:r w:rsidR="007F0468">
              <w:rPr>
                <w:rFonts w:asciiTheme="minorEastAsia" w:hAnsiTheme="minorEastAsia" w:cs="宋体" w:hint="eastAsia"/>
                <w:color w:val="3D3D3D"/>
                <w:kern w:val="0"/>
                <w:sz w:val="24"/>
                <w:szCs w:val="24"/>
              </w:rPr>
              <w:t>1</w:t>
            </w:r>
            <w:r w:rsidRPr="00AC5BEC">
              <w:rPr>
                <w:rFonts w:asciiTheme="minorEastAsia" w:hAnsiTheme="minorEastAsia" w:cs="宋体" w:hint="eastAsia"/>
                <w:color w:val="3D3D3D"/>
                <w:kern w:val="0"/>
                <w:sz w:val="24"/>
                <w:szCs w:val="24"/>
              </w:rPr>
              <w:t>位；</w:t>
            </w:r>
          </w:p>
          <w:p w:rsidR="00AC5BEC" w:rsidRPr="00AC5BEC" w:rsidRDefault="00AC5BEC" w:rsidP="00AC5BEC">
            <w:pPr>
              <w:widowControl/>
              <w:spacing w:before="100" w:beforeAutospacing="1" w:after="100" w:afterAutospacing="1" w:line="336" w:lineRule="atLeast"/>
              <w:ind w:firstLine="216"/>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2018年ENR全球工程设计公司150强第2位，位居中资企业第一；</w:t>
            </w:r>
          </w:p>
          <w:p w:rsidR="00AC5BEC" w:rsidRPr="00AC5BEC" w:rsidRDefault="00AC5BEC" w:rsidP="00AC5BEC">
            <w:pPr>
              <w:widowControl/>
              <w:spacing w:before="100" w:beforeAutospacing="1" w:after="100" w:afterAutospacing="1" w:line="336" w:lineRule="atLeast"/>
              <w:ind w:firstLine="216"/>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2018年ENR全球工程承包商250强第6位；</w:t>
            </w:r>
          </w:p>
          <w:p w:rsidR="00AC5BEC" w:rsidRPr="00AC5BEC" w:rsidRDefault="00AC5BEC" w:rsidP="00AC5BEC">
            <w:pPr>
              <w:widowControl/>
              <w:spacing w:before="100" w:beforeAutospacing="1" w:after="100" w:afterAutospacing="1" w:line="336" w:lineRule="atLeast"/>
              <w:ind w:firstLine="216"/>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连续六年获评国务院国资委中央企业负责人经营业绩考核A级企业。</w:t>
            </w:r>
          </w:p>
        </w:tc>
      </w:tr>
      <w:tr w:rsidR="00AC5BEC" w:rsidRPr="00AC5BEC" w:rsidTr="00D62738">
        <w:trPr>
          <w:trHeight w:val="600"/>
          <w:tblCellSpacing w:w="0" w:type="dxa"/>
        </w:trPr>
        <w:tc>
          <w:tcPr>
            <w:tcW w:w="1560" w:type="dxa"/>
            <w:tcBorders>
              <w:bottom w:val="dashed" w:sz="4" w:space="0" w:color="E3E3E3"/>
              <w:right w:val="dashed" w:sz="4" w:space="0" w:color="E3E3E3"/>
            </w:tcBorders>
            <w:hideMark/>
          </w:tcPr>
          <w:p w:rsidR="00AC5BEC" w:rsidRPr="00AC5BEC" w:rsidRDefault="00AC5BEC" w:rsidP="00AC5BEC">
            <w:pPr>
              <w:widowControl/>
              <w:spacing w:line="600" w:lineRule="atLeast"/>
              <w:jc w:val="center"/>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科技实力</w:t>
            </w:r>
          </w:p>
        </w:tc>
        <w:tc>
          <w:tcPr>
            <w:tcW w:w="6840" w:type="dxa"/>
            <w:tcBorders>
              <w:bottom w:val="dashed" w:sz="4" w:space="0" w:color="E3E3E3"/>
            </w:tcBorders>
            <w:vAlign w:val="center"/>
            <w:hideMark/>
          </w:tcPr>
          <w:p w:rsidR="00AC5BEC" w:rsidRPr="00AC5BEC" w:rsidRDefault="00AC5BEC" w:rsidP="00AC5BEC">
            <w:pPr>
              <w:widowControl/>
              <w:spacing w:line="336" w:lineRule="atLeast"/>
              <w:ind w:firstLine="276"/>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中国电建共有6个国家级研发机构，77个省级研发机构，8个院士工作站，6个博士后工作站，</w:t>
            </w:r>
          </w:p>
          <w:p w:rsidR="00AC5BEC" w:rsidRPr="00AC5BEC" w:rsidRDefault="00AC5BEC" w:rsidP="00AC5BEC">
            <w:pPr>
              <w:widowControl/>
              <w:spacing w:before="100" w:beforeAutospacing="1" w:after="100" w:afterAutospacing="1" w:line="336" w:lineRule="atLeast"/>
              <w:ind w:firstLine="276"/>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81家成员企业及下属子企业被认定为省级高新技术企业；</w:t>
            </w:r>
          </w:p>
          <w:p w:rsidR="00AC5BEC" w:rsidRPr="00AC5BEC" w:rsidRDefault="00AC5BEC" w:rsidP="00AC5BEC">
            <w:pPr>
              <w:widowControl/>
              <w:spacing w:before="100" w:beforeAutospacing="1" w:after="100" w:afterAutospacing="1" w:line="336" w:lineRule="atLeast"/>
              <w:ind w:firstLine="276"/>
              <w:jc w:val="left"/>
              <w:rPr>
                <w:rFonts w:asciiTheme="minorEastAsia" w:hAnsiTheme="minorEastAsia" w:cs="宋体"/>
                <w:color w:val="3D3D3D"/>
                <w:kern w:val="0"/>
                <w:sz w:val="24"/>
                <w:szCs w:val="24"/>
              </w:rPr>
            </w:pPr>
            <w:r w:rsidRPr="00AC5BEC">
              <w:rPr>
                <w:rFonts w:asciiTheme="minorEastAsia" w:hAnsiTheme="minorEastAsia" w:cs="宋体" w:hint="eastAsia"/>
                <w:color w:val="3D3D3D"/>
                <w:kern w:val="0"/>
                <w:sz w:val="24"/>
                <w:szCs w:val="24"/>
              </w:rPr>
              <w:t>获得国家科技进步奖106项、省部级科技进步奖2118项，拥有专利10547项（其中发明专利1628项）。</w:t>
            </w:r>
          </w:p>
        </w:tc>
      </w:tr>
    </w:tbl>
    <w:p w:rsidR="00AC5BEC" w:rsidRPr="00D62738" w:rsidRDefault="00AC5BEC">
      <w:pPr>
        <w:rPr>
          <w:rFonts w:asciiTheme="minorEastAsia" w:hAnsiTheme="minorEastAsia"/>
          <w:sz w:val="28"/>
          <w:szCs w:val="28"/>
        </w:rPr>
      </w:pPr>
    </w:p>
    <w:p w:rsidR="00D62738" w:rsidRPr="00D62738" w:rsidRDefault="00D62738">
      <w:pPr>
        <w:rPr>
          <w:rFonts w:asciiTheme="minorEastAsia" w:hAnsiTheme="minorEastAsia"/>
          <w:sz w:val="28"/>
          <w:szCs w:val="28"/>
        </w:rPr>
      </w:pPr>
    </w:p>
    <w:sectPr w:rsidR="00D62738" w:rsidRPr="00D62738" w:rsidSect="00991C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5BEC"/>
    <w:rsid w:val="007F0468"/>
    <w:rsid w:val="00991C3F"/>
    <w:rsid w:val="00AC5BEC"/>
    <w:rsid w:val="00D62738"/>
    <w:rsid w:val="00F150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C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5BE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C5BEC"/>
    <w:rPr>
      <w:b/>
      <w:bCs/>
    </w:rPr>
  </w:style>
</w:styles>
</file>

<file path=word/webSettings.xml><?xml version="1.0" encoding="utf-8"?>
<w:webSettings xmlns:r="http://schemas.openxmlformats.org/officeDocument/2006/relationships" xmlns:w="http://schemas.openxmlformats.org/wordprocessingml/2006/main">
  <w:divs>
    <w:div w:id="248471204">
      <w:bodyDiv w:val="1"/>
      <w:marLeft w:val="0"/>
      <w:marRight w:val="0"/>
      <w:marTop w:val="0"/>
      <w:marBottom w:val="0"/>
      <w:divBdr>
        <w:top w:val="none" w:sz="0" w:space="0" w:color="auto"/>
        <w:left w:val="none" w:sz="0" w:space="0" w:color="auto"/>
        <w:bottom w:val="none" w:sz="0" w:space="0" w:color="auto"/>
        <w:right w:val="none" w:sz="0" w:space="0" w:color="auto"/>
      </w:divBdr>
      <w:divsChild>
        <w:div w:id="415588793">
          <w:marLeft w:val="0"/>
          <w:marRight w:val="0"/>
          <w:marTop w:val="0"/>
          <w:marBottom w:val="0"/>
          <w:divBdr>
            <w:top w:val="none" w:sz="0" w:space="0" w:color="auto"/>
            <w:left w:val="none" w:sz="0" w:space="0" w:color="auto"/>
            <w:bottom w:val="none" w:sz="0" w:space="0" w:color="auto"/>
            <w:right w:val="none" w:sz="0" w:space="0" w:color="auto"/>
          </w:divBdr>
          <w:divsChild>
            <w:div w:id="1015225173">
              <w:marLeft w:val="0"/>
              <w:marRight w:val="0"/>
              <w:marTop w:val="0"/>
              <w:marBottom w:val="0"/>
              <w:divBdr>
                <w:top w:val="none" w:sz="0" w:space="0" w:color="auto"/>
                <w:left w:val="none" w:sz="0" w:space="0" w:color="auto"/>
                <w:bottom w:val="none" w:sz="0" w:space="0" w:color="auto"/>
                <w:right w:val="none" w:sz="0" w:space="0" w:color="auto"/>
              </w:divBdr>
              <w:divsChild>
                <w:div w:id="42874305">
                  <w:marLeft w:val="0"/>
                  <w:marRight w:val="0"/>
                  <w:marTop w:val="0"/>
                  <w:marBottom w:val="0"/>
                  <w:divBdr>
                    <w:top w:val="none" w:sz="0" w:space="0" w:color="auto"/>
                    <w:left w:val="none" w:sz="0" w:space="0" w:color="auto"/>
                    <w:bottom w:val="none" w:sz="0" w:space="0" w:color="auto"/>
                    <w:right w:val="none" w:sz="0" w:space="0" w:color="auto"/>
                  </w:divBdr>
                  <w:divsChild>
                    <w:div w:id="704404430">
                      <w:marLeft w:val="0"/>
                      <w:marRight w:val="0"/>
                      <w:marTop w:val="240"/>
                      <w:marBottom w:val="0"/>
                      <w:divBdr>
                        <w:top w:val="none" w:sz="0" w:space="0" w:color="auto"/>
                        <w:left w:val="none" w:sz="0" w:space="0" w:color="auto"/>
                        <w:bottom w:val="none" w:sz="0" w:space="0" w:color="auto"/>
                        <w:right w:val="none" w:sz="0" w:space="0" w:color="auto"/>
                      </w:divBdr>
                      <w:divsChild>
                        <w:div w:id="948586455">
                          <w:marLeft w:val="0"/>
                          <w:marRight w:val="0"/>
                          <w:marTop w:val="0"/>
                          <w:marBottom w:val="0"/>
                          <w:divBdr>
                            <w:top w:val="none" w:sz="0" w:space="0" w:color="auto"/>
                            <w:left w:val="none" w:sz="0" w:space="0" w:color="auto"/>
                            <w:bottom w:val="none" w:sz="0" w:space="0" w:color="auto"/>
                            <w:right w:val="none" w:sz="0" w:space="0" w:color="auto"/>
                          </w:divBdr>
                          <w:divsChild>
                            <w:div w:id="1334844396">
                              <w:marLeft w:val="0"/>
                              <w:marRight w:val="0"/>
                              <w:marTop w:val="0"/>
                              <w:marBottom w:val="0"/>
                              <w:divBdr>
                                <w:top w:val="none" w:sz="0" w:space="0" w:color="auto"/>
                                <w:left w:val="none" w:sz="0" w:space="0" w:color="auto"/>
                                <w:bottom w:val="none" w:sz="0" w:space="0" w:color="auto"/>
                                <w:right w:val="none" w:sz="0" w:space="0" w:color="auto"/>
                              </w:divBdr>
                              <w:divsChild>
                                <w:div w:id="1766153143">
                                  <w:marLeft w:val="0"/>
                                  <w:marRight w:val="0"/>
                                  <w:marTop w:val="240"/>
                                  <w:marBottom w:val="0"/>
                                  <w:divBdr>
                                    <w:top w:val="none" w:sz="0" w:space="0" w:color="auto"/>
                                    <w:left w:val="none" w:sz="0" w:space="0" w:color="auto"/>
                                    <w:bottom w:val="none" w:sz="0" w:space="0" w:color="auto"/>
                                    <w:right w:val="none" w:sz="0" w:space="0" w:color="auto"/>
                                  </w:divBdr>
                                  <w:divsChild>
                                    <w:div w:id="1186479064">
                                      <w:marLeft w:val="0"/>
                                      <w:marRight w:val="0"/>
                                      <w:marTop w:val="0"/>
                                      <w:marBottom w:val="0"/>
                                      <w:divBdr>
                                        <w:top w:val="none" w:sz="0" w:space="0" w:color="auto"/>
                                        <w:left w:val="none" w:sz="0" w:space="0" w:color="auto"/>
                                        <w:bottom w:val="none" w:sz="0" w:space="0" w:color="auto"/>
                                        <w:right w:val="none" w:sz="0" w:space="0" w:color="auto"/>
                                      </w:divBdr>
                                      <w:divsChild>
                                        <w:div w:id="15414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797517">
                                  <w:marLeft w:val="0"/>
                                  <w:marRight w:val="0"/>
                                  <w:marTop w:val="240"/>
                                  <w:marBottom w:val="0"/>
                                  <w:divBdr>
                                    <w:top w:val="none" w:sz="0" w:space="0" w:color="auto"/>
                                    <w:left w:val="none" w:sz="0" w:space="0" w:color="auto"/>
                                    <w:bottom w:val="none" w:sz="0" w:space="0" w:color="auto"/>
                                    <w:right w:val="none" w:sz="0" w:space="0" w:color="auto"/>
                                  </w:divBdr>
                                  <w:divsChild>
                                    <w:div w:id="626083640">
                                      <w:marLeft w:val="0"/>
                                      <w:marRight w:val="0"/>
                                      <w:marTop w:val="0"/>
                                      <w:marBottom w:val="0"/>
                                      <w:divBdr>
                                        <w:top w:val="none" w:sz="0" w:space="0" w:color="auto"/>
                                        <w:left w:val="none" w:sz="0" w:space="0" w:color="auto"/>
                                        <w:bottom w:val="none" w:sz="0" w:space="0" w:color="auto"/>
                                        <w:right w:val="none" w:sz="0" w:space="0" w:color="auto"/>
                                      </w:divBdr>
                                    </w:div>
                                    <w:div w:id="361638120">
                                      <w:marLeft w:val="0"/>
                                      <w:marRight w:val="0"/>
                                      <w:marTop w:val="0"/>
                                      <w:marBottom w:val="0"/>
                                      <w:divBdr>
                                        <w:top w:val="none" w:sz="0" w:space="0" w:color="auto"/>
                                        <w:left w:val="none" w:sz="0" w:space="0" w:color="auto"/>
                                        <w:bottom w:val="none" w:sz="0" w:space="0" w:color="auto"/>
                                        <w:right w:val="none" w:sz="0" w:space="0" w:color="auto"/>
                                      </w:divBdr>
                                      <w:divsChild>
                                        <w:div w:id="1024406272">
                                          <w:marLeft w:val="0"/>
                                          <w:marRight w:val="0"/>
                                          <w:marTop w:val="0"/>
                                          <w:marBottom w:val="0"/>
                                          <w:divBdr>
                                            <w:top w:val="none" w:sz="0" w:space="0" w:color="auto"/>
                                            <w:left w:val="none" w:sz="0" w:space="0" w:color="auto"/>
                                            <w:bottom w:val="none" w:sz="0" w:space="0" w:color="auto"/>
                                            <w:right w:val="none" w:sz="0" w:space="0" w:color="auto"/>
                                          </w:divBdr>
                                        </w:div>
                                        <w:div w:id="42572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0173053">
      <w:bodyDiv w:val="1"/>
      <w:marLeft w:val="0"/>
      <w:marRight w:val="0"/>
      <w:marTop w:val="0"/>
      <w:marBottom w:val="0"/>
      <w:divBdr>
        <w:top w:val="none" w:sz="0" w:space="0" w:color="auto"/>
        <w:left w:val="none" w:sz="0" w:space="0" w:color="auto"/>
        <w:bottom w:val="none" w:sz="0" w:space="0" w:color="auto"/>
        <w:right w:val="none" w:sz="0" w:space="0" w:color="auto"/>
      </w:divBdr>
      <w:divsChild>
        <w:div w:id="55860405">
          <w:marLeft w:val="0"/>
          <w:marRight w:val="0"/>
          <w:marTop w:val="0"/>
          <w:marBottom w:val="0"/>
          <w:divBdr>
            <w:top w:val="none" w:sz="0" w:space="0" w:color="auto"/>
            <w:left w:val="none" w:sz="0" w:space="0" w:color="auto"/>
            <w:bottom w:val="none" w:sz="0" w:space="0" w:color="auto"/>
            <w:right w:val="none" w:sz="0" w:space="0" w:color="auto"/>
          </w:divBdr>
          <w:divsChild>
            <w:div w:id="1039207078">
              <w:marLeft w:val="0"/>
              <w:marRight w:val="0"/>
              <w:marTop w:val="0"/>
              <w:marBottom w:val="0"/>
              <w:divBdr>
                <w:top w:val="none" w:sz="0" w:space="0" w:color="auto"/>
                <w:left w:val="none" w:sz="0" w:space="0" w:color="auto"/>
                <w:bottom w:val="none" w:sz="0" w:space="0" w:color="auto"/>
                <w:right w:val="none" w:sz="0" w:space="0" w:color="auto"/>
              </w:divBdr>
              <w:divsChild>
                <w:div w:id="2048293454">
                  <w:marLeft w:val="0"/>
                  <w:marRight w:val="0"/>
                  <w:marTop w:val="0"/>
                  <w:marBottom w:val="0"/>
                  <w:divBdr>
                    <w:top w:val="none" w:sz="0" w:space="0" w:color="auto"/>
                    <w:left w:val="none" w:sz="0" w:space="0" w:color="auto"/>
                    <w:bottom w:val="none" w:sz="0" w:space="0" w:color="auto"/>
                    <w:right w:val="none" w:sz="0" w:space="0" w:color="auto"/>
                  </w:divBdr>
                  <w:divsChild>
                    <w:div w:id="1541673782">
                      <w:marLeft w:val="0"/>
                      <w:marRight w:val="0"/>
                      <w:marTop w:val="240"/>
                      <w:marBottom w:val="0"/>
                      <w:divBdr>
                        <w:top w:val="none" w:sz="0" w:space="0" w:color="auto"/>
                        <w:left w:val="none" w:sz="0" w:space="0" w:color="auto"/>
                        <w:bottom w:val="none" w:sz="0" w:space="0" w:color="auto"/>
                        <w:right w:val="none" w:sz="0" w:space="0" w:color="auto"/>
                      </w:divBdr>
                      <w:divsChild>
                        <w:div w:id="2134446257">
                          <w:marLeft w:val="0"/>
                          <w:marRight w:val="0"/>
                          <w:marTop w:val="0"/>
                          <w:marBottom w:val="0"/>
                          <w:divBdr>
                            <w:top w:val="none" w:sz="0" w:space="0" w:color="auto"/>
                            <w:left w:val="none" w:sz="0" w:space="0" w:color="auto"/>
                            <w:bottom w:val="none" w:sz="0" w:space="0" w:color="auto"/>
                            <w:right w:val="none" w:sz="0" w:space="0" w:color="auto"/>
                          </w:divBdr>
                          <w:divsChild>
                            <w:div w:id="1351645272">
                              <w:marLeft w:val="0"/>
                              <w:marRight w:val="0"/>
                              <w:marTop w:val="0"/>
                              <w:marBottom w:val="0"/>
                              <w:divBdr>
                                <w:top w:val="none" w:sz="0" w:space="0" w:color="auto"/>
                                <w:left w:val="none" w:sz="0" w:space="0" w:color="auto"/>
                                <w:bottom w:val="none" w:sz="0" w:space="0" w:color="auto"/>
                                <w:right w:val="none" w:sz="0" w:space="0" w:color="auto"/>
                              </w:divBdr>
                              <w:divsChild>
                                <w:div w:id="1836991845">
                                  <w:marLeft w:val="0"/>
                                  <w:marRight w:val="0"/>
                                  <w:marTop w:val="0"/>
                                  <w:marBottom w:val="240"/>
                                  <w:divBdr>
                                    <w:top w:val="none" w:sz="0" w:space="0" w:color="auto"/>
                                    <w:left w:val="none" w:sz="0" w:space="0" w:color="auto"/>
                                    <w:bottom w:val="none" w:sz="0" w:space="0" w:color="auto"/>
                                    <w:right w:val="none" w:sz="0" w:space="0" w:color="auto"/>
                                  </w:divBdr>
                                  <w:divsChild>
                                    <w:div w:id="1693536044">
                                      <w:marLeft w:val="0"/>
                                      <w:marRight w:val="0"/>
                                      <w:marTop w:val="0"/>
                                      <w:marBottom w:val="0"/>
                                      <w:divBdr>
                                        <w:top w:val="none" w:sz="0" w:space="0" w:color="auto"/>
                                        <w:left w:val="none" w:sz="0" w:space="0" w:color="auto"/>
                                        <w:bottom w:val="none" w:sz="0" w:space="0" w:color="auto"/>
                                        <w:right w:val="none" w:sz="0" w:space="0" w:color="auto"/>
                                      </w:divBdr>
                                      <w:divsChild>
                                        <w:div w:id="442844945">
                                          <w:marLeft w:val="0"/>
                                          <w:marRight w:val="0"/>
                                          <w:marTop w:val="0"/>
                                          <w:marBottom w:val="0"/>
                                          <w:divBdr>
                                            <w:top w:val="none" w:sz="0" w:space="0" w:color="auto"/>
                                            <w:left w:val="none" w:sz="0" w:space="0" w:color="auto"/>
                                            <w:bottom w:val="none" w:sz="0" w:space="0" w:color="auto"/>
                                            <w:right w:val="none" w:sz="0" w:space="0" w:color="auto"/>
                                          </w:divBdr>
                                        </w:div>
                                        <w:div w:id="186019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167</Words>
  <Characters>958</Characters>
  <Application>Microsoft Office Word</Application>
  <DocSecurity>0</DocSecurity>
  <Lines>7</Lines>
  <Paragraphs>2</Paragraphs>
  <ScaleCrop>false</ScaleCrop>
  <Company>微软中国</Company>
  <LinksUpToDate>false</LinksUpToDate>
  <CharactersWithSpaces>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黄炳良</dc:creator>
  <cp:keywords/>
  <dc:description/>
  <cp:lastModifiedBy>黄炳良</cp:lastModifiedBy>
  <cp:revision>4</cp:revision>
  <dcterms:created xsi:type="dcterms:W3CDTF">2018-09-03T06:46:00Z</dcterms:created>
  <dcterms:modified xsi:type="dcterms:W3CDTF">2018-09-03T09:20:00Z</dcterms:modified>
</cp:coreProperties>
</file>