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0" w:lineRule="exact"/>
        <w:rPr>
          <w:rFonts w:ascii="仿宋_GB2312"/>
          <w:color w:val="000000"/>
          <w:kern w:val="0"/>
        </w:rPr>
      </w:pPr>
      <w:r>
        <w:rPr>
          <w:rFonts w:hint="eastAsia" w:ascii="仿宋_GB2312" w:hAnsi="仿宋_GB2312" w:cs="仿宋_GB2312"/>
          <w:color w:val="000000"/>
          <w:kern w:val="0"/>
        </w:rPr>
        <w:t>附件1：</w:t>
      </w:r>
    </w:p>
    <w:p>
      <w:pPr>
        <w:adjustRightInd w:val="0"/>
        <w:spacing w:line="592" w:lineRule="exact"/>
        <w:jc w:val="center"/>
        <w:rPr>
          <w:rFonts w:ascii="宋体" w:hAnsi="宋体" w:eastAsia="宋体"/>
          <w:color w:val="000000"/>
          <w:sz w:val="28"/>
          <w:szCs w:val="28"/>
        </w:rPr>
      </w:pPr>
      <w:r>
        <w:rPr>
          <w:rFonts w:ascii="仿宋_GB2312" w:hAnsi="仿宋_GB2312" w:cs="仿宋_GB2312"/>
          <w:color w:val="000000"/>
          <w:kern w:val="0"/>
        </w:rPr>
        <w:t xml:space="preserve">   </w:t>
      </w:r>
      <w:r>
        <w:rPr>
          <w:rFonts w:hint="eastAsia" w:ascii="宋体" w:hAnsi="宋体" w:eastAsia="宋体" w:cs="宋体"/>
          <w:b/>
          <w:bCs/>
          <w:color w:val="000000"/>
          <w:kern w:val="0"/>
        </w:rPr>
        <w:t>天台县</w:t>
      </w:r>
      <w:r>
        <w:rPr>
          <w:rFonts w:hint="eastAsia" w:ascii="宋体" w:hAnsi="宋体" w:eastAsia="宋体" w:cs="宋体"/>
          <w:b/>
          <w:bCs/>
        </w:rPr>
        <w:t>2020“智汇台州·百校引才”活动参加报名需求表</w:t>
      </w:r>
      <w:r>
        <w:rPr>
          <w:rFonts w:hint="eastAsia" w:ascii="宋体" w:hAnsi="宋体" w:eastAsia="宋体"/>
          <w:color w:val="000000"/>
          <w:sz w:val="28"/>
          <w:szCs w:val="28"/>
        </w:rPr>
        <w:t xml:space="preserve"> </w:t>
      </w:r>
    </w:p>
    <w:tbl>
      <w:tblPr>
        <w:tblStyle w:val="5"/>
        <w:tblpPr w:leftFromText="180" w:rightFromText="180" w:vertAnchor="text" w:horzAnchor="page" w:tblpX="1375" w:tblpY="400"/>
        <w:tblOverlap w:val="never"/>
        <w:tblW w:w="911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8"/>
        <w:gridCol w:w="839"/>
        <w:gridCol w:w="177"/>
        <w:gridCol w:w="528"/>
        <w:gridCol w:w="885"/>
        <w:gridCol w:w="674"/>
        <w:gridCol w:w="901"/>
        <w:gridCol w:w="462"/>
        <w:gridCol w:w="993"/>
        <w:gridCol w:w="1368"/>
        <w:gridCol w:w="723"/>
        <w:gridCol w:w="11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474" w:type="dxa"/>
            <w:gridSpan w:val="3"/>
            <w:vAlign w:val="center"/>
          </w:tcPr>
          <w:p>
            <w:pPr>
              <w:jc w:val="center"/>
              <w:rPr>
                <w:rFonts w:hAnsi="宋体"/>
                <w:sz w:val="24"/>
              </w:rPr>
            </w:pPr>
            <w:r>
              <w:rPr>
                <w:rFonts w:hint="eastAsia" w:hAnsi="宋体"/>
                <w:sz w:val="24"/>
              </w:rPr>
              <w:t>单位名称</w:t>
            </w:r>
          </w:p>
        </w:tc>
        <w:tc>
          <w:tcPr>
            <w:tcW w:w="3450" w:type="dxa"/>
            <w:gridSpan w:val="5"/>
            <w:vAlign w:val="center"/>
          </w:tcPr>
          <w:p>
            <w:pPr>
              <w:jc w:val="center"/>
              <w:rPr>
                <w:rFonts w:hAnsi="宋体"/>
                <w:sz w:val="24"/>
              </w:rPr>
            </w:pPr>
            <w:r>
              <w:rPr>
                <w:rFonts w:hAnsi="宋体"/>
                <w:sz w:val="24"/>
              </w:rPr>
              <w:t>永高股份有限公司</w:t>
            </w:r>
          </w:p>
        </w:tc>
        <w:tc>
          <w:tcPr>
            <w:tcW w:w="2361" w:type="dxa"/>
            <w:gridSpan w:val="2"/>
            <w:vAlign w:val="center"/>
          </w:tcPr>
          <w:p>
            <w:pPr>
              <w:jc w:val="center"/>
              <w:rPr>
                <w:rFonts w:hAnsi="宋体"/>
                <w:sz w:val="24"/>
              </w:rPr>
            </w:pPr>
            <w:r>
              <w:rPr>
                <w:rFonts w:hint="eastAsia" w:hAnsi="宋体"/>
                <w:sz w:val="24"/>
              </w:rPr>
              <w:t>单位性质</w:t>
            </w:r>
          </w:p>
        </w:tc>
        <w:tc>
          <w:tcPr>
            <w:tcW w:w="1828" w:type="dxa"/>
            <w:gridSpan w:val="2"/>
            <w:vAlign w:val="center"/>
          </w:tcPr>
          <w:p>
            <w:pPr>
              <w:jc w:val="center"/>
              <w:rPr>
                <w:rFonts w:hAnsi="宋体"/>
                <w:sz w:val="24"/>
              </w:rPr>
            </w:pPr>
            <w:r>
              <w:rPr>
                <w:rFonts w:hAnsi="宋体"/>
                <w:sz w:val="24"/>
              </w:rPr>
              <w:t>民营企业，上市公司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474" w:type="dxa"/>
            <w:gridSpan w:val="3"/>
            <w:vAlign w:val="center"/>
          </w:tcPr>
          <w:p>
            <w:pPr>
              <w:jc w:val="center"/>
              <w:rPr>
                <w:rFonts w:hAnsi="宋体"/>
                <w:sz w:val="24"/>
              </w:rPr>
            </w:pPr>
            <w:r>
              <w:rPr>
                <w:rFonts w:hint="eastAsia" w:hAnsi="宋体"/>
                <w:sz w:val="24"/>
              </w:rPr>
              <w:t>单位地址</w:t>
            </w:r>
          </w:p>
        </w:tc>
        <w:tc>
          <w:tcPr>
            <w:tcW w:w="3450" w:type="dxa"/>
            <w:gridSpan w:val="5"/>
            <w:vAlign w:val="center"/>
          </w:tcPr>
          <w:p>
            <w:pPr>
              <w:pStyle w:val="13"/>
              <w:spacing w:before="0" w:beforeAutospacing="0" w:after="0" w:afterAutospacing="0" w:line="360" w:lineRule="atLeast"/>
              <w:rPr>
                <w:color w:val="333333"/>
                <w:sz w:val="28"/>
                <w:szCs w:val="28"/>
              </w:rPr>
            </w:pPr>
            <w:r>
              <w:rPr>
                <w:color w:val="333333"/>
                <w:sz w:val="21"/>
                <w:szCs w:val="28"/>
              </w:rPr>
              <w:t>浙江省台州市黄岩区黄椒路</w:t>
            </w:r>
            <w:r>
              <w:rPr>
                <w:rFonts w:hint="eastAsia"/>
                <w:color w:val="333333"/>
                <w:sz w:val="21"/>
                <w:szCs w:val="28"/>
              </w:rPr>
              <w:t>555号</w:t>
            </w:r>
          </w:p>
        </w:tc>
        <w:tc>
          <w:tcPr>
            <w:tcW w:w="2361" w:type="dxa"/>
            <w:gridSpan w:val="2"/>
            <w:vAlign w:val="center"/>
          </w:tcPr>
          <w:p>
            <w:pPr>
              <w:jc w:val="center"/>
              <w:rPr>
                <w:rFonts w:hAnsi="宋体"/>
                <w:sz w:val="24"/>
              </w:rPr>
            </w:pPr>
            <w:r>
              <w:rPr>
                <w:rFonts w:hint="eastAsia" w:hAnsi="宋体"/>
                <w:sz w:val="24"/>
              </w:rPr>
              <w:t>邮    编</w:t>
            </w:r>
          </w:p>
        </w:tc>
        <w:tc>
          <w:tcPr>
            <w:tcW w:w="1828" w:type="dxa"/>
            <w:gridSpan w:val="2"/>
            <w:vAlign w:val="center"/>
          </w:tcPr>
          <w:p>
            <w:pPr>
              <w:jc w:val="center"/>
              <w:rPr>
                <w:rFonts w:hAnsi="宋体"/>
                <w:sz w:val="24"/>
              </w:rPr>
            </w:pPr>
            <w:r>
              <w:rPr>
                <w:rFonts w:hint="eastAsia" w:hAnsi="宋体"/>
                <w:sz w:val="24"/>
              </w:rPr>
              <w:t>318020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3"/>
            <w:vAlign w:val="center"/>
          </w:tcPr>
          <w:p>
            <w:pPr>
              <w:jc w:val="center"/>
              <w:rPr>
                <w:rFonts w:hAnsi="宋体"/>
                <w:sz w:val="24"/>
              </w:rPr>
            </w:pPr>
            <w:r>
              <w:rPr>
                <w:rFonts w:hint="eastAsia" w:hAnsi="宋体"/>
                <w:sz w:val="24"/>
              </w:rPr>
              <w:t>联 系 人</w:t>
            </w:r>
          </w:p>
        </w:tc>
        <w:tc>
          <w:tcPr>
            <w:tcW w:w="2087" w:type="dxa"/>
            <w:gridSpan w:val="3"/>
            <w:vAlign w:val="center"/>
          </w:tcPr>
          <w:p>
            <w:pPr>
              <w:jc w:val="center"/>
              <w:rPr>
                <w:rFonts w:hAnsi="宋体"/>
                <w:sz w:val="24"/>
              </w:rPr>
            </w:pPr>
            <w:r>
              <w:rPr>
                <w:rFonts w:hint="eastAsia" w:hAnsi="宋体"/>
                <w:sz w:val="24"/>
              </w:rPr>
              <w:t>黄剑锋</w:t>
            </w:r>
          </w:p>
        </w:tc>
        <w:tc>
          <w:tcPr>
            <w:tcW w:w="1363" w:type="dxa"/>
            <w:gridSpan w:val="2"/>
            <w:vAlign w:val="center"/>
          </w:tcPr>
          <w:p>
            <w:pPr>
              <w:jc w:val="center"/>
              <w:rPr>
                <w:rFonts w:hAnsi="宋体" w:eastAsia="宋体"/>
                <w:sz w:val="24"/>
              </w:rPr>
            </w:pPr>
            <w:r>
              <w:rPr>
                <w:rFonts w:hint="eastAsia" w:hAnsi="宋体"/>
                <w:sz w:val="24"/>
              </w:rPr>
              <w:t xml:space="preserve">联系方式 </w:t>
            </w:r>
          </w:p>
        </w:tc>
        <w:tc>
          <w:tcPr>
            <w:tcW w:w="4189" w:type="dxa"/>
            <w:gridSpan w:val="4"/>
            <w:vAlign w:val="center"/>
          </w:tcPr>
          <w:p>
            <w:pPr>
              <w:jc w:val="center"/>
              <w:rPr>
                <w:rFonts w:hAnsi="宋体"/>
                <w:sz w:val="24"/>
              </w:rPr>
            </w:pPr>
            <w:r>
              <w:rPr>
                <w:rFonts w:hint="eastAsia" w:hAnsi="宋体"/>
                <w:sz w:val="24"/>
              </w:rPr>
              <w:t>13757684341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3"/>
            <w:vAlign w:val="center"/>
          </w:tcPr>
          <w:p>
            <w:pPr>
              <w:jc w:val="center"/>
              <w:rPr>
                <w:rFonts w:hAnsi="宋体"/>
                <w:sz w:val="24"/>
              </w:rPr>
            </w:pPr>
            <w:r>
              <w:rPr>
                <w:rFonts w:hint="eastAsia" w:hAnsi="宋体"/>
                <w:sz w:val="24"/>
              </w:rPr>
              <w:t>参加人数</w:t>
            </w:r>
          </w:p>
        </w:tc>
        <w:tc>
          <w:tcPr>
            <w:tcW w:w="2087" w:type="dxa"/>
            <w:gridSpan w:val="3"/>
            <w:vAlign w:val="center"/>
          </w:tcPr>
          <w:p>
            <w:pPr>
              <w:jc w:val="center"/>
              <w:rPr>
                <w:rFonts w:hAnsi="宋体"/>
                <w:sz w:val="24"/>
              </w:rPr>
            </w:pPr>
            <w:r>
              <w:rPr>
                <w:rFonts w:hint="eastAsia" w:hAnsi="宋体"/>
                <w:sz w:val="24"/>
              </w:rPr>
              <w:t>1</w:t>
            </w:r>
          </w:p>
        </w:tc>
        <w:tc>
          <w:tcPr>
            <w:tcW w:w="1363" w:type="dxa"/>
            <w:gridSpan w:val="2"/>
            <w:vAlign w:val="center"/>
          </w:tcPr>
          <w:p>
            <w:pPr>
              <w:jc w:val="center"/>
              <w:rPr>
                <w:rFonts w:hAnsi="宋体"/>
                <w:sz w:val="24"/>
              </w:rPr>
            </w:pPr>
            <w:r>
              <w:rPr>
                <w:rFonts w:hint="eastAsia" w:hAnsi="宋体"/>
                <w:sz w:val="24"/>
              </w:rPr>
              <w:t>住宿要求</w:t>
            </w:r>
          </w:p>
        </w:tc>
        <w:tc>
          <w:tcPr>
            <w:tcW w:w="4189" w:type="dxa"/>
            <w:gridSpan w:val="4"/>
            <w:vAlign w:val="center"/>
          </w:tcPr>
          <w:p>
            <w:pPr>
              <w:jc w:val="center"/>
              <w:rPr>
                <w:rFonts w:hAnsi="宋体"/>
                <w:sz w:val="24"/>
              </w:rPr>
            </w:pPr>
            <w:r>
              <w:rPr>
                <w:rFonts w:hint="eastAsia" w:hAnsi="宋体"/>
                <w:sz w:val="24"/>
              </w:rPr>
              <w:sym w:font="Wingdings" w:char="00A8"/>
            </w:r>
            <w:r>
              <w:rPr>
                <w:rFonts w:hint="eastAsia" w:hAnsi="宋体"/>
                <w:sz w:val="24"/>
              </w:rPr>
              <w:t xml:space="preserve">单间    </w:t>
            </w:r>
            <w:bookmarkStart w:id="0" w:name="_GoBack"/>
            <w:bookmarkEnd w:id="0"/>
            <w:r>
              <w:rPr>
                <w:rFonts w:hint="eastAsia" w:hAnsi="宋体"/>
                <w:sz w:val="24"/>
              </w:rPr>
              <w:sym w:font="Wingdings" w:char="00FE"/>
            </w:r>
            <w:r>
              <w:rPr>
                <w:rFonts w:hint="eastAsia" w:hAnsi="宋体"/>
                <w:sz w:val="24"/>
              </w:rPr>
              <w:t xml:space="preserve">标间   </w:t>
            </w:r>
            <w:r>
              <w:rPr>
                <w:rFonts w:hint="eastAsia" w:hAnsi="宋体"/>
                <w:sz w:val="24"/>
              </w:rPr>
              <w:sym w:font="Wingdings" w:char="00A8"/>
            </w:r>
            <w:r>
              <w:rPr>
                <w:rFonts w:hint="eastAsia" w:hAnsi="宋体"/>
                <w:sz w:val="24"/>
              </w:rPr>
              <w:t xml:space="preserve">可拼间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474" w:type="dxa"/>
            <w:gridSpan w:val="3"/>
            <w:vMerge w:val="restart"/>
            <w:vAlign w:val="center"/>
          </w:tcPr>
          <w:p>
            <w:pPr>
              <w:jc w:val="center"/>
              <w:rPr>
                <w:rFonts w:hAnsi="宋体" w:eastAsia="宋体"/>
                <w:sz w:val="24"/>
              </w:rPr>
            </w:pPr>
            <w:r>
              <w:rPr>
                <w:rFonts w:hint="eastAsia" w:hAnsi="宋体"/>
                <w:sz w:val="24"/>
              </w:rPr>
              <w:t>参加场次（勾选，可多选）</w:t>
            </w:r>
          </w:p>
        </w:tc>
        <w:tc>
          <w:tcPr>
            <w:tcW w:w="3450" w:type="dxa"/>
            <w:gridSpan w:val="5"/>
            <w:vMerge w:val="restart"/>
            <w:vAlign w:val="center"/>
          </w:tcPr>
          <w:p>
            <w:pPr>
              <w:jc w:val="left"/>
              <w:rPr>
                <w:rFonts w:ascii="宋体" w:hAnsi="宋体" w:eastAsia="宋体" w:cs="宋体"/>
                <w:sz w:val="21"/>
                <w:szCs w:val="21"/>
              </w:rPr>
            </w:pPr>
            <w:r>
              <w:rPr>
                <w:rFonts w:hint="eastAsia" w:ascii="宋体" w:hAnsi="宋体" w:eastAsia="宋体" w:cs="宋体"/>
                <w:color w:val="000000"/>
                <w:kern w:val="0"/>
                <w:sz w:val="21"/>
                <w:szCs w:val="21"/>
              </w:rPr>
              <w:t>2020“智汇台州·百校引才”招聘会（河南站）</w:t>
            </w:r>
          </w:p>
        </w:tc>
        <w:tc>
          <w:tcPr>
            <w:tcW w:w="3084" w:type="dxa"/>
            <w:gridSpan w:val="3"/>
            <w:vAlign w:val="center"/>
          </w:tcPr>
          <w:p>
            <w:pPr>
              <w:jc w:val="left"/>
              <w:rPr>
                <w:rFonts w:ascii="宋体" w:hAnsi="宋体" w:eastAsia="宋体" w:cs="宋体"/>
                <w:sz w:val="21"/>
                <w:szCs w:val="21"/>
              </w:rPr>
            </w:pPr>
            <w:r>
              <w:rPr>
                <w:rFonts w:hint="eastAsia" w:ascii="仿宋" w:hAnsi="仿宋" w:eastAsia="仿宋" w:cs="仿宋"/>
                <w:spacing w:val="-10"/>
              </w:rPr>
              <w:t>郑州大学</w:t>
            </w:r>
          </w:p>
        </w:tc>
        <w:tc>
          <w:tcPr>
            <w:tcW w:w="1105" w:type="dxa"/>
            <w:vAlign w:val="center"/>
          </w:tcPr>
          <w:p>
            <w:pPr>
              <w:jc w:val="left"/>
              <w:rPr>
                <w:rFonts w:ascii="宋体" w:hAnsi="宋体" w:eastAsia="宋体" w:cs="宋体"/>
                <w:color w:val="000000"/>
                <w:kern w:val="0"/>
                <w:sz w:val="21"/>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474" w:type="dxa"/>
            <w:gridSpan w:val="3"/>
            <w:vMerge w:val="continue"/>
            <w:vAlign w:val="center"/>
          </w:tcPr>
          <w:p>
            <w:pPr>
              <w:jc w:val="center"/>
              <w:rPr>
                <w:rFonts w:hAnsi="宋体"/>
                <w:sz w:val="24"/>
              </w:rPr>
            </w:pPr>
          </w:p>
        </w:tc>
        <w:tc>
          <w:tcPr>
            <w:tcW w:w="3450" w:type="dxa"/>
            <w:gridSpan w:val="5"/>
            <w:vMerge w:val="continue"/>
            <w:vAlign w:val="center"/>
          </w:tcPr>
          <w:p>
            <w:pPr>
              <w:jc w:val="left"/>
              <w:rPr>
                <w:rFonts w:ascii="宋体" w:hAnsi="宋体" w:eastAsia="宋体" w:cs="宋体"/>
                <w:color w:val="000000"/>
                <w:kern w:val="0"/>
                <w:sz w:val="21"/>
                <w:szCs w:val="21"/>
              </w:rPr>
            </w:pPr>
          </w:p>
        </w:tc>
        <w:tc>
          <w:tcPr>
            <w:tcW w:w="3084" w:type="dxa"/>
            <w:gridSpan w:val="3"/>
            <w:vAlign w:val="center"/>
          </w:tcPr>
          <w:p>
            <w:pPr>
              <w:jc w:val="left"/>
              <w:rPr>
                <w:rFonts w:ascii="宋体" w:hAnsi="宋体" w:eastAsia="宋体" w:cs="宋体"/>
                <w:sz w:val="21"/>
                <w:szCs w:val="21"/>
              </w:rPr>
            </w:pPr>
            <w:r>
              <w:rPr>
                <w:rFonts w:hint="eastAsia" w:ascii="仿宋" w:hAnsi="仿宋" w:eastAsia="仿宋" w:cs="仿宋"/>
                <w:spacing w:val="-10"/>
              </w:rPr>
              <w:t>郑州轻工业大学</w:t>
            </w:r>
          </w:p>
        </w:tc>
        <w:tc>
          <w:tcPr>
            <w:tcW w:w="1105" w:type="dxa"/>
            <w:vAlign w:val="center"/>
          </w:tcPr>
          <w:p>
            <w:pPr>
              <w:jc w:val="left"/>
              <w:rPr>
                <w:rFonts w:ascii="宋体" w:hAnsi="宋体" w:eastAsia="宋体" w:cs="宋体"/>
                <w:color w:val="000000"/>
                <w:kern w:val="0"/>
                <w:sz w:val="21"/>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3"/>
            <w:vMerge w:val="continue"/>
            <w:vAlign w:val="center"/>
          </w:tcPr>
          <w:p>
            <w:pPr>
              <w:jc w:val="center"/>
              <w:rPr>
                <w:rFonts w:hAnsi="宋体"/>
                <w:sz w:val="24"/>
              </w:rPr>
            </w:pPr>
          </w:p>
        </w:tc>
        <w:tc>
          <w:tcPr>
            <w:tcW w:w="3450" w:type="dxa"/>
            <w:gridSpan w:val="5"/>
            <w:vMerge w:val="continue"/>
            <w:vAlign w:val="center"/>
          </w:tcPr>
          <w:p>
            <w:pPr>
              <w:jc w:val="left"/>
              <w:rPr>
                <w:rFonts w:ascii="宋体" w:hAnsi="宋体" w:eastAsia="宋体" w:cs="宋体"/>
                <w:color w:val="000000"/>
                <w:kern w:val="0"/>
                <w:sz w:val="21"/>
                <w:szCs w:val="21"/>
              </w:rPr>
            </w:pPr>
          </w:p>
        </w:tc>
        <w:tc>
          <w:tcPr>
            <w:tcW w:w="3084" w:type="dxa"/>
            <w:gridSpan w:val="3"/>
            <w:vAlign w:val="center"/>
          </w:tcPr>
          <w:p>
            <w:pPr>
              <w:jc w:val="left"/>
              <w:rPr>
                <w:rFonts w:ascii="宋体" w:hAnsi="宋体" w:eastAsia="宋体" w:cs="宋体"/>
                <w:sz w:val="21"/>
                <w:szCs w:val="21"/>
              </w:rPr>
            </w:pPr>
            <w:r>
              <w:rPr>
                <w:rFonts w:hint="eastAsia" w:ascii="仿宋" w:hAnsi="仿宋" w:eastAsia="仿宋" w:cs="仿宋"/>
                <w:spacing w:val="-10"/>
              </w:rPr>
              <w:t>新乡学院</w:t>
            </w:r>
          </w:p>
        </w:tc>
        <w:tc>
          <w:tcPr>
            <w:tcW w:w="1105" w:type="dxa"/>
            <w:vAlign w:val="center"/>
          </w:tcPr>
          <w:p>
            <w:pPr>
              <w:jc w:val="left"/>
              <w:rPr>
                <w:rFonts w:ascii="宋体" w:hAnsi="宋体" w:eastAsia="宋体" w:cs="宋体"/>
                <w:color w:val="000000"/>
                <w:kern w:val="0"/>
                <w:sz w:val="21"/>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3"/>
            <w:vMerge w:val="continue"/>
            <w:vAlign w:val="center"/>
          </w:tcPr>
          <w:p>
            <w:pPr>
              <w:jc w:val="center"/>
              <w:rPr>
                <w:rFonts w:hAnsi="宋体"/>
                <w:sz w:val="24"/>
              </w:rPr>
            </w:pPr>
          </w:p>
        </w:tc>
        <w:tc>
          <w:tcPr>
            <w:tcW w:w="3450" w:type="dxa"/>
            <w:gridSpan w:val="5"/>
            <w:vMerge w:val="continue"/>
            <w:vAlign w:val="center"/>
          </w:tcPr>
          <w:p>
            <w:pPr>
              <w:jc w:val="left"/>
              <w:rPr>
                <w:rFonts w:ascii="宋体" w:hAnsi="宋体" w:eastAsia="宋体" w:cs="宋体"/>
                <w:color w:val="000000"/>
                <w:kern w:val="0"/>
                <w:sz w:val="21"/>
                <w:szCs w:val="21"/>
              </w:rPr>
            </w:pPr>
          </w:p>
        </w:tc>
        <w:tc>
          <w:tcPr>
            <w:tcW w:w="3084" w:type="dxa"/>
            <w:gridSpan w:val="3"/>
            <w:vAlign w:val="center"/>
          </w:tcPr>
          <w:p>
            <w:pPr>
              <w:jc w:val="left"/>
              <w:rPr>
                <w:rFonts w:ascii="宋体" w:hAnsi="宋体" w:eastAsia="宋体" w:cs="宋体"/>
                <w:sz w:val="21"/>
                <w:szCs w:val="21"/>
              </w:rPr>
            </w:pPr>
            <w:r>
              <w:rPr>
                <w:rFonts w:hint="eastAsia" w:ascii="仿宋" w:hAnsi="仿宋" w:eastAsia="仿宋" w:cs="仿宋"/>
              </w:rPr>
              <w:t>河南理工大学</w:t>
            </w:r>
          </w:p>
        </w:tc>
        <w:tc>
          <w:tcPr>
            <w:tcW w:w="1105" w:type="dxa"/>
            <w:vAlign w:val="center"/>
          </w:tcPr>
          <w:p>
            <w:pPr>
              <w:jc w:val="left"/>
              <w:rPr>
                <w:rFonts w:ascii="宋体" w:hAnsi="宋体" w:eastAsia="宋体" w:cs="宋体"/>
                <w:color w:val="000000"/>
                <w:kern w:val="0"/>
                <w:sz w:val="21"/>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1474" w:type="dxa"/>
            <w:gridSpan w:val="3"/>
            <w:vMerge w:val="continue"/>
            <w:vAlign w:val="center"/>
          </w:tcPr>
          <w:p>
            <w:pPr>
              <w:jc w:val="center"/>
              <w:rPr>
                <w:rFonts w:hAnsi="宋体"/>
                <w:sz w:val="24"/>
              </w:rPr>
            </w:pPr>
          </w:p>
        </w:tc>
        <w:tc>
          <w:tcPr>
            <w:tcW w:w="3450" w:type="dxa"/>
            <w:gridSpan w:val="5"/>
            <w:vMerge w:val="continue"/>
            <w:vAlign w:val="center"/>
          </w:tcPr>
          <w:p>
            <w:pPr>
              <w:jc w:val="left"/>
              <w:rPr>
                <w:rFonts w:ascii="宋体" w:hAnsi="宋体" w:eastAsia="宋体" w:cs="宋体"/>
                <w:color w:val="000000"/>
                <w:kern w:val="0"/>
                <w:sz w:val="21"/>
                <w:szCs w:val="21"/>
              </w:rPr>
            </w:pPr>
          </w:p>
        </w:tc>
        <w:tc>
          <w:tcPr>
            <w:tcW w:w="3084" w:type="dxa"/>
            <w:gridSpan w:val="3"/>
            <w:vAlign w:val="center"/>
          </w:tcPr>
          <w:p>
            <w:pPr>
              <w:jc w:val="left"/>
              <w:rPr>
                <w:rFonts w:hint="eastAsia" w:ascii="宋体" w:hAnsi="宋体" w:eastAsia="仿宋" w:cs="宋体"/>
                <w:sz w:val="21"/>
                <w:szCs w:val="21"/>
                <w:lang w:val="en-US" w:eastAsia="zh-CN"/>
              </w:rPr>
            </w:pPr>
            <w:r>
              <w:rPr>
                <w:rFonts w:hint="eastAsia" w:ascii="仿宋" w:hAnsi="仿宋" w:eastAsia="仿宋" w:cs="仿宋"/>
                <w:spacing w:val="-10"/>
                <w:lang w:val="en-US" w:eastAsia="zh-CN"/>
              </w:rPr>
              <w:t>河南工业大学</w:t>
            </w:r>
          </w:p>
        </w:tc>
        <w:tc>
          <w:tcPr>
            <w:tcW w:w="1105" w:type="dxa"/>
            <w:vAlign w:val="center"/>
          </w:tcPr>
          <w:p>
            <w:pPr>
              <w:jc w:val="left"/>
              <w:rPr>
                <w:rFonts w:ascii="宋体" w:hAnsi="宋体" w:eastAsia="宋体" w:cs="宋体"/>
                <w:color w:val="000000"/>
                <w:kern w:val="0"/>
                <w:sz w:val="21"/>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69" w:hRule="atLeast"/>
        </w:trPr>
        <w:tc>
          <w:tcPr>
            <w:tcW w:w="9113" w:type="dxa"/>
            <w:gridSpan w:val="12"/>
          </w:tcPr>
          <w:p>
            <w:pPr>
              <w:ind w:firstLine="480" w:firstLineChars="200"/>
              <w:rPr>
                <w:rFonts w:hint="eastAsia" w:hAnsi="宋体"/>
                <w:sz w:val="24"/>
              </w:rPr>
            </w:pPr>
            <w:r>
              <w:rPr>
                <w:rFonts w:hint="eastAsia" w:hAnsi="宋体"/>
                <w:sz w:val="24"/>
              </w:rPr>
              <w:t>公元塑业集团有限公司创建于1983年，是一家产业涉及塑料管道、光伏太阳能、家用电器开关插座、智能装备和贸易等多个领域的大型集团。公司是中塑协塑料管道专委会理事长单位、全国塑料制品标委会（SAC/TC48/SC3）主任委员单位。公司于2011年在深交所上市，股票代码：002641，下辖14家全资子公司和1家合资公司。</w:t>
            </w:r>
          </w:p>
          <w:p>
            <w:pPr>
              <w:ind w:firstLine="480" w:firstLineChars="200"/>
              <w:rPr>
                <w:rFonts w:hint="eastAsia" w:hAnsi="宋体"/>
                <w:sz w:val="24"/>
              </w:rPr>
            </w:pPr>
            <w:r>
              <w:rPr>
                <w:rFonts w:hint="eastAsia" w:hAnsi="宋体"/>
                <w:sz w:val="24"/>
              </w:rPr>
              <w:t>公司集研发、生产、销售和服务于一体，为客户提供全面的塑料管道系统解决方案，是城乡管网建设的综合配套服务商。公司构建了品种规格最为齐全的六大系统、六大模块、六大系列产品。“ERA公元”商标在百余个国家(地区)注册,获得26个系列、100 多个国家的国际认证。公司主持或参与60余项国家（行业）标准的制修订。连续多年，产销量居全国A股上市企业第一，出口量居全国行业第一。</w:t>
            </w:r>
          </w:p>
          <w:p>
            <w:pPr>
              <w:ind w:firstLine="480" w:firstLineChars="200"/>
              <w:jc w:val="left"/>
              <w:rPr>
                <w:rFonts w:hAnsi="宋体"/>
                <w:sz w:val="24"/>
              </w:rPr>
            </w:pPr>
            <w:r>
              <w:rPr>
                <w:rFonts w:hint="eastAsia" w:hAnsi="宋体"/>
                <w:sz w:val="24"/>
              </w:rPr>
              <w:t>公司先后荣获“全国文明单位”“中国民营企业500强”“中国轻工业百强企业”“亚洲品牌500强”“全国质量标杆企业”等荣誉。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trPr>
        <w:tc>
          <w:tcPr>
            <w:tcW w:w="1297" w:type="dxa"/>
            <w:gridSpan w:val="2"/>
            <w:vAlign w:val="center"/>
          </w:tcPr>
          <w:p>
            <w:pPr>
              <w:jc w:val="center"/>
              <w:rPr>
                <w:rFonts w:hAnsi="宋体"/>
                <w:sz w:val="24"/>
              </w:rPr>
            </w:pPr>
            <w:r>
              <w:rPr>
                <w:rFonts w:hint="eastAsia" w:hAnsi="宋体"/>
                <w:sz w:val="24"/>
              </w:rPr>
              <w:t>需求岗位</w:t>
            </w:r>
          </w:p>
        </w:tc>
        <w:tc>
          <w:tcPr>
            <w:tcW w:w="705" w:type="dxa"/>
            <w:gridSpan w:val="2"/>
            <w:vAlign w:val="center"/>
          </w:tcPr>
          <w:p>
            <w:pPr>
              <w:jc w:val="center"/>
              <w:rPr>
                <w:rFonts w:hAnsi="宋体"/>
                <w:sz w:val="24"/>
              </w:rPr>
            </w:pPr>
            <w:r>
              <w:rPr>
                <w:rFonts w:hint="eastAsia" w:hAnsi="宋体"/>
                <w:sz w:val="24"/>
              </w:rPr>
              <w:t>人数</w:t>
            </w:r>
          </w:p>
        </w:tc>
        <w:tc>
          <w:tcPr>
            <w:tcW w:w="885" w:type="dxa"/>
            <w:vAlign w:val="center"/>
          </w:tcPr>
          <w:p>
            <w:pPr>
              <w:jc w:val="center"/>
              <w:rPr>
                <w:rFonts w:hAnsi="宋体"/>
                <w:sz w:val="24"/>
              </w:rPr>
            </w:pPr>
            <w:r>
              <w:rPr>
                <w:rFonts w:hint="eastAsia" w:hAnsi="宋体"/>
                <w:sz w:val="24"/>
              </w:rPr>
              <w:t>学历</w:t>
            </w:r>
          </w:p>
        </w:tc>
        <w:tc>
          <w:tcPr>
            <w:tcW w:w="1575" w:type="dxa"/>
            <w:gridSpan w:val="2"/>
            <w:vAlign w:val="center"/>
          </w:tcPr>
          <w:p>
            <w:pPr>
              <w:jc w:val="center"/>
              <w:rPr>
                <w:rFonts w:hAnsi="宋体"/>
                <w:sz w:val="24"/>
              </w:rPr>
            </w:pPr>
            <w:r>
              <w:rPr>
                <w:rFonts w:hint="eastAsia" w:hAnsi="宋体"/>
                <w:sz w:val="24"/>
              </w:rPr>
              <w:t>专业</w:t>
            </w:r>
          </w:p>
        </w:tc>
        <w:tc>
          <w:tcPr>
            <w:tcW w:w="1455" w:type="dxa"/>
            <w:gridSpan w:val="2"/>
            <w:vAlign w:val="center"/>
          </w:tcPr>
          <w:p>
            <w:pPr>
              <w:jc w:val="center"/>
              <w:rPr>
                <w:rFonts w:hAnsi="宋体"/>
                <w:sz w:val="24"/>
              </w:rPr>
            </w:pPr>
            <w:r>
              <w:rPr>
                <w:rFonts w:hint="eastAsia" w:hAnsi="宋体"/>
                <w:sz w:val="24"/>
              </w:rPr>
              <w:t>薪酬</w:t>
            </w:r>
          </w:p>
        </w:tc>
        <w:tc>
          <w:tcPr>
            <w:tcW w:w="3196" w:type="dxa"/>
            <w:gridSpan w:val="3"/>
            <w:vAlign w:val="center"/>
          </w:tcPr>
          <w:p>
            <w:pPr>
              <w:jc w:val="center"/>
              <w:rPr>
                <w:rFonts w:hAnsi="宋体"/>
                <w:sz w:val="24"/>
              </w:rPr>
            </w:pPr>
            <w:r>
              <w:rPr>
                <w:rFonts w:hint="eastAsia" w:hAnsi="宋体"/>
                <w:sz w:val="24"/>
              </w:rPr>
              <w:t>职位描述及要求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1</w:t>
            </w:r>
          </w:p>
        </w:tc>
        <w:tc>
          <w:tcPr>
            <w:tcW w:w="839" w:type="dxa"/>
            <w:vAlign w:val="center"/>
          </w:tcPr>
          <w:p>
            <w:pPr>
              <w:spacing w:line="0" w:lineRule="atLeast"/>
              <w:jc w:val="center"/>
              <w:rPr>
                <w:rFonts w:ascii="仿宋_GB2312" w:hAnsi="宋体"/>
                <w:sz w:val="21"/>
                <w:szCs w:val="21"/>
              </w:rPr>
            </w:pPr>
            <w:r>
              <w:rPr>
                <w:rFonts w:ascii="仿宋_GB2312" w:hAnsi="宋体"/>
                <w:sz w:val="21"/>
                <w:szCs w:val="21"/>
              </w:rPr>
              <w:t>材料工程师</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5</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adjustRightInd w:val="0"/>
              <w:spacing w:line="400" w:lineRule="exact"/>
              <w:rPr>
                <w:rFonts w:ascii="仿宋_GB2312" w:hAnsi="宋体"/>
                <w:sz w:val="21"/>
                <w:szCs w:val="21"/>
              </w:rPr>
            </w:pPr>
            <w:r>
              <w:rPr>
                <w:rFonts w:hint="eastAsia" w:ascii="仿宋_GB2312" w:hAnsi="宋体"/>
                <w:sz w:val="21"/>
                <w:szCs w:val="21"/>
              </w:rPr>
              <w:t>高分子</w:t>
            </w:r>
            <w:r>
              <w:rPr>
                <w:rFonts w:ascii="仿宋_GB2312" w:hAnsi="宋体"/>
                <w:sz w:val="21"/>
                <w:szCs w:val="21"/>
              </w:rPr>
              <w:t>材料与科学，</w:t>
            </w:r>
            <w:r>
              <w:rPr>
                <w:rFonts w:hint="eastAsia" w:ascii="仿宋_GB2312" w:hAnsi="宋体"/>
                <w:sz w:val="21"/>
                <w:szCs w:val="21"/>
              </w:rPr>
              <w:t>材料</w:t>
            </w:r>
            <w:r>
              <w:rPr>
                <w:rFonts w:ascii="仿宋_GB2312" w:hAnsi="宋体"/>
                <w:sz w:val="21"/>
                <w:szCs w:val="21"/>
              </w:rPr>
              <w:t>化学，</w:t>
            </w:r>
            <w:r>
              <w:rPr>
                <w:rFonts w:hint="eastAsia" w:ascii="仿宋_GB2312" w:hAnsi="宋体"/>
                <w:sz w:val="21"/>
                <w:szCs w:val="21"/>
              </w:rPr>
              <w:t>材料</w:t>
            </w:r>
            <w:r>
              <w:rPr>
                <w:rFonts w:ascii="仿宋_GB2312" w:hAnsi="宋体"/>
                <w:sz w:val="21"/>
                <w:szCs w:val="21"/>
              </w:rPr>
              <w:t>科学</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4K-12K元/月</w:t>
            </w:r>
          </w:p>
        </w:tc>
        <w:tc>
          <w:tcPr>
            <w:tcW w:w="3196" w:type="dxa"/>
            <w:gridSpan w:val="3"/>
            <w:vAlign w:val="center"/>
          </w:tcPr>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主要负责塑料管道新产品研发和老产品改进工作；</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负责为客户提供系统性的产品解决方案，以及相关技术支持（如虹吸雨水排水系统、同层排水系统等的设计及校核等）；</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负责新产品研发过程的跟进和沟通；</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负责专利的申报；</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负责外文标准及其它技术资料的翻译；</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负责科技项目申报资料的编制；</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负责新产品的试销及市场推广、拓展等相关工作；</w:t>
            </w:r>
          </w:p>
          <w:p>
            <w:pPr>
              <w:pStyle w:val="14"/>
              <w:numPr>
                <w:ilvl w:val="0"/>
                <w:numId w:val="1"/>
              </w:numPr>
              <w:ind w:firstLineChars="0"/>
              <w:jc w:val="left"/>
              <w:rPr>
                <w:rFonts w:ascii="仿宋_GB2312" w:hAnsi="宋体" w:eastAsia="仿宋_GB2312"/>
                <w:szCs w:val="21"/>
              </w:rPr>
            </w:pPr>
            <w:r>
              <w:rPr>
                <w:rFonts w:hint="eastAsia" w:ascii="仿宋_GB2312" w:hAnsi="宋体" w:eastAsia="仿宋_GB2312"/>
                <w:szCs w:val="21"/>
              </w:rPr>
              <w:t>完成领导交办的其他事项。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2</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给排水工程师</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5</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adjustRightInd w:val="0"/>
              <w:spacing w:line="400" w:lineRule="exact"/>
              <w:jc w:val="center"/>
              <w:rPr>
                <w:rFonts w:ascii="仿宋_GB2312" w:hAnsi="宋体"/>
                <w:sz w:val="21"/>
                <w:szCs w:val="21"/>
              </w:rPr>
            </w:pPr>
            <w:r>
              <w:rPr>
                <w:rFonts w:hint="eastAsia" w:ascii="仿宋_GB2312" w:hAnsi="宋体"/>
                <w:sz w:val="21"/>
                <w:szCs w:val="21"/>
              </w:rPr>
              <w:t>给排水科学与工程，环境工程，水利水电工程</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4K-12K元/月</w:t>
            </w:r>
          </w:p>
        </w:tc>
        <w:tc>
          <w:tcPr>
            <w:tcW w:w="3196" w:type="dxa"/>
            <w:gridSpan w:val="3"/>
            <w:vAlign w:val="center"/>
          </w:tcPr>
          <w:p>
            <w:pPr>
              <w:pStyle w:val="14"/>
              <w:numPr>
                <w:ilvl w:val="0"/>
                <w:numId w:val="2"/>
              </w:numPr>
              <w:ind w:firstLineChars="0"/>
              <w:jc w:val="left"/>
              <w:rPr>
                <w:rFonts w:ascii="仿宋_GB2312" w:hAnsi="宋体" w:eastAsia="仿宋_GB2312"/>
                <w:szCs w:val="21"/>
              </w:rPr>
            </w:pPr>
            <w:r>
              <w:rPr>
                <w:rFonts w:hint="eastAsia" w:ascii="仿宋_GB2312" w:hAnsi="宋体" w:eastAsia="仿宋_GB2312"/>
                <w:szCs w:val="21"/>
              </w:rPr>
              <w:t>各类给排水管道系统的设计；</w:t>
            </w:r>
          </w:p>
          <w:p>
            <w:pPr>
              <w:pStyle w:val="14"/>
              <w:numPr>
                <w:ilvl w:val="0"/>
                <w:numId w:val="2"/>
              </w:numPr>
              <w:ind w:firstLineChars="0"/>
              <w:jc w:val="left"/>
              <w:rPr>
                <w:rFonts w:ascii="仿宋_GB2312" w:hAnsi="宋体" w:eastAsia="仿宋_GB2312"/>
                <w:szCs w:val="21"/>
              </w:rPr>
            </w:pPr>
            <w:r>
              <w:rPr>
                <w:rFonts w:hint="eastAsia" w:ascii="仿宋_GB2312" w:hAnsi="宋体" w:eastAsia="仿宋_GB2312"/>
                <w:szCs w:val="21"/>
              </w:rPr>
              <w:t>对各房地产用户进行给排水技术服务，交流及推广；</w:t>
            </w:r>
          </w:p>
          <w:p>
            <w:pPr>
              <w:pStyle w:val="14"/>
              <w:numPr>
                <w:ilvl w:val="0"/>
                <w:numId w:val="2"/>
              </w:numPr>
              <w:ind w:firstLineChars="0"/>
              <w:jc w:val="left"/>
              <w:rPr>
                <w:rFonts w:ascii="仿宋_GB2312" w:hAnsi="宋体" w:eastAsia="仿宋_GB2312"/>
                <w:szCs w:val="21"/>
              </w:rPr>
            </w:pPr>
            <w:r>
              <w:rPr>
                <w:rFonts w:hint="eastAsia" w:ascii="仿宋_GB2312" w:hAnsi="宋体" w:eastAsia="仿宋_GB2312"/>
                <w:szCs w:val="21"/>
              </w:rPr>
              <w:t>对给排水管路系统构件结构的完善和技术改进；</w:t>
            </w:r>
          </w:p>
          <w:p>
            <w:pPr>
              <w:pStyle w:val="14"/>
              <w:numPr>
                <w:ilvl w:val="0"/>
                <w:numId w:val="2"/>
              </w:numPr>
              <w:ind w:firstLineChars="0"/>
              <w:jc w:val="left"/>
              <w:rPr>
                <w:rFonts w:ascii="仿宋_GB2312" w:hAnsi="宋体" w:eastAsia="仿宋_GB2312"/>
                <w:szCs w:val="21"/>
              </w:rPr>
            </w:pPr>
            <w:r>
              <w:rPr>
                <w:rFonts w:hint="eastAsia" w:ascii="仿宋_GB2312" w:hAnsi="宋体" w:eastAsia="仿宋_GB2312"/>
                <w:szCs w:val="21"/>
              </w:rPr>
              <w:t>对营销人员进行技术支持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3</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外贸业务员</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5</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jc w:val="left"/>
              <w:rPr>
                <w:rFonts w:ascii="仿宋_GB2312" w:hAnsi="宋体"/>
                <w:sz w:val="21"/>
                <w:szCs w:val="21"/>
              </w:rPr>
            </w:pPr>
            <w:r>
              <w:rPr>
                <w:rFonts w:hint="eastAsia" w:ascii="仿宋_GB2312" w:hAnsi="宋体"/>
                <w:sz w:val="21"/>
                <w:szCs w:val="21"/>
              </w:rPr>
              <w:t>英语，小语种,国际经济与贸易</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4K/月+提成</w:t>
            </w:r>
          </w:p>
        </w:tc>
        <w:tc>
          <w:tcPr>
            <w:tcW w:w="3196" w:type="dxa"/>
            <w:gridSpan w:val="3"/>
            <w:vAlign w:val="center"/>
          </w:tcPr>
          <w:p>
            <w:pPr>
              <w:pStyle w:val="14"/>
              <w:numPr>
                <w:ilvl w:val="0"/>
                <w:numId w:val="3"/>
              </w:numPr>
              <w:ind w:firstLineChars="0"/>
              <w:jc w:val="left"/>
              <w:rPr>
                <w:rFonts w:ascii="仿宋_GB2312" w:hAnsi="宋体" w:eastAsia="仿宋_GB2312"/>
                <w:szCs w:val="21"/>
              </w:rPr>
            </w:pPr>
            <w:r>
              <w:rPr>
                <w:rFonts w:hint="eastAsia" w:ascii="仿宋_GB2312" w:hAnsi="宋体" w:eastAsia="仿宋_GB2312"/>
                <w:szCs w:val="21"/>
              </w:rPr>
              <w:t xml:space="preserve">负责公司外贸业务的开展； </w:t>
            </w:r>
          </w:p>
          <w:p>
            <w:pPr>
              <w:pStyle w:val="14"/>
              <w:numPr>
                <w:ilvl w:val="0"/>
                <w:numId w:val="3"/>
              </w:numPr>
              <w:ind w:firstLineChars="0"/>
              <w:jc w:val="left"/>
              <w:rPr>
                <w:rFonts w:ascii="仿宋_GB2312" w:hAnsi="宋体" w:eastAsia="仿宋_GB2312"/>
                <w:szCs w:val="21"/>
              </w:rPr>
            </w:pPr>
            <w:r>
              <w:rPr>
                <w:rFonts w:hint="eastAsia" w:ascii="仿宋_GB2312" w:hAnsi="宋体" w:eastAsia="仿宋_GB2312"/>
                <w:szCs w:val="21"/>
              </w:rPr>
              <w:t>负责客户的管理与维护工作，及时解决客户的实际需求；</w:t>
            </w:r>
          </w:p>
          <w:p>
            <w:pPr>
              <w:adjustRightInd w:val="0"/>
              <w:spacing w:line="400" w:lineRule="exact"/>
              <w:jc w:val="center"/>
              <w:rPr>
                <w:rFonts w:ascii="仿宋_GB2312" w:hAnsi="宋体"/>
                <w:sz w:val="21"/>
                <w:szCs w:val="21"/>
              </w:rPr>
            </w:pPr>
            <w:r>
              <w:rPr>
                <w:rFonts w:hint="eastAsia" w:ascii="仿宋_GB2312" w:hAnsi="宋体"/>
                <w:sz w:val="21"/>
                <w:szCs w:val="21"/>
              </w:rPr>
              <w:t>3、负责分析所属市场的销售情况、产品定位、定价策略等市场信息，为管理层的决策提供依据。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4</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会计/审计</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10</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adjustRightInd w:val="0"/>
              <w:spacing w:line="400" w:lineRule="exact"/>
              <w:jc w:val="center"/>
              <w:rPr>
                <w:rFonts w:ascii="仿宋_GB2312" w:hAnsi="宋体"/>
                <w:sz w:val="21"/>
                <w:szCs w:val="21"/>
              </w:rPr>
            </w:pPr>
            <w:r>
              <w:rPr>
                <w:rFonts w:ascii="仿宋_GB2312" w:hAnsi="宋体"/>
                <w:sz w:val="21"/>
                <w:szCs w:val="21"/>
              </w:rPr>
              <w:t>会计学，财务管理，审计学</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4K-6K/月</w:t>
            </w:r>
          </w:p>
        </w:tc>
        <w:tc>
          <w:tcPr>
            <w:tcW w:w="3196" w:type="dxa"/>
            <w:gridSpan w:val="3"/>
            <w:vAlign w:val="center"/>
          </w:tcPr>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审批财务收支，审阅财务专题报告和会计报表，对重大的财务收支计划、经济合同进行会签；</w:t>
            </w:r>
          </w:p>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编制预算和执行预算，参与拟订资金筹措和使用方案，确保资金的有效使用；</w:t>
            </w:r>
          </w:p>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审查公司对外提供的会计资料；</w:t>
            </w:r>
          </w:p>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负责审核公司本部和各下属单位上报的会计报表和集团公司会计报表，编制财务综合分析报告和专题分析报告，为公司领导决策提供可靠的依据；</w:t>
            </w:r>
          </w:p>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制订公司内部财务、会计制度和工作程序，经批准后组织实施并监督执行；</w:t>
            </w:r>
          </w:p>
          <w:p>
            <w:pPr>
              <w:pStyle w:val="14"/>
              <w:numPr>
                <w:ilvl w:val="0"/>
                <w:numId w:val="4"/>
              </w:numPr>
              <w:ind w:firstLineChars="0"/>
              <w:jc w:val="left"/>
              <w:rPr>
                <w:rFonts w:ascii="仿宋_GB2312" w:hAnsi="宋体" w:eastAsia="仿宋_GB2312"/>
                <w:szCs w:val="21"/>
              </w:rPr>
            </w:pPr>
            <w:r>
              <w:rPr>
                <w:rFonts w:hint="eastAsia" w:ascii="仿宋_GB2312" w:hAnsi="宋体" w:eastAsia="仿宋_GB2312"/>
                <w:szCs w:val="21"/>
              </w:rPr>
              <w:t>组织编制与实现公司的财务收支计划、信贷计划与成本费用计划。</w:t>
            </w:r>
          </w:p>
          <w:p>
            <w:pPr>
              <w:adjustRightInd w:val="0"/>
              <w:spacing w:line="400" w:lineRule="exact"/>
              <w:jc w:val="center"/>
              <w:rPr>
                <w:rFonts w:ascii="仿宋_GB2312"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5</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生产储备干部</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20</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adjustRightInd w:val="0"/>
              <w:spacing w:line="400" w:lineRule="exact"/>
              <w:jc w:val="center"/>
              <w:rPr>
                <w:rFonts w:ascii="仿宋_GB2312" w:hAnsi="宋体"/>
                <w:sz w:val="21"/>
                <w:szCs w:val="21"/>
              </w:rPr>
            </w:pPr>
            <w:r>
              <w:rPr>
                <w:rFonts w:hint="eastAsia" w:ascii="仿宋_GB2312" w:hAnsi="宋体"/>
                <w:sz w:val="21"/>
                <w:szCs w:val="21"/>
              </w:rPr>
              <w:t>工业工程，物流管理，物流工程，</w:t>
            </w:r>
            <w:r>
              <w:rPr>
                <w:rFonts w:ascii="仿宋_GB2312" w:hAnsi="宋体"/>
                <w:sz w:val="21"/>
                <w:szCs w:val="21"/>
              </w:rPr>
              <w:t>机械</w:t>
            </w:r>
            <w:r>
              <w:rPr>
                <w:rFonts w:hint="eastAsia" w:ascii="仿宋_GB2312" w:hAnsi="宋体"/>
                <w:sz w:val="21"/>
                <w:szCs w:val="21"/>
              </w:rPr>
              <w:t>制造</w:t>
            </w:r>
            <w:r>
              <w:rPr>
                <w:rFonts w:ascii="仿宋_GB2312" w:hAnsi="宋体"/>
                <w:sz w:val="21"/>
                <w:szCs w:val="21"/>
              </w:rPr>
              <w:t>及其自动化，机械</w:t>
            </w:r>
            <w:r>
              <w:rPr>
                <w:rFonts w:hint="eastAsia" w:ascii="仿宋_GB2312" w:hAnsi="宋体"/>
                <w:sz w:val="21"/>
                <w:szCs w:val="21"/>
              </w:rPr>
              <w:t>工程等</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4-6K/月</w:t>
            </w:r>
          </w:p>
        </w:tc>
        <w:tc>
          <w:tcPr>
            <w:tcW w:w="3196" w:type="dxa"/>
            <w:gridSpan w:val="3"/>
            <w:vAlign w:val="center"/>
          </w:tcPr>
          <w:p>
            <w:pPr>
              <w:pStyle w:val="14"/>
              <w:numPr>
                <w:ilvl w:val="0"/>
                <w:numId w:val="5"/>
              </w:numPr>
              <w:ind w:firstLineChars="0"/>
              <w:jc w:val="left"/>
              <w:rPr>
                <w:rFonts w:ascii="仿宋_GB2312" w:hAnsi="宋体" w:eastAsia="仿宋_GB2312"/>
                <w:szCs w:val="21"/>
              </w:rPr>
            </w:pPr>
            <w:r>
              <w:rPr>
                <w:rFonts w:hint="eastAsia" w:ascii="仿宋_GB2312" w:hAnsi="宋体" w:eastAsia="仿宋_GB2312"/>
                <w:szCs w:val="21"/>
              </w:rPr>
              <w:t>负责生产板表数据收集、整理；</w:t>
            </w:r>
          </w:p>
          <w:p>
            <w:pPr>
              <w:pStyle w:val="14"/>
              <w:numPr>
                <w:ilvl w:val="0"/>
                <w:numId w:val="5"/>
              </w:numPr>
              <w:ind w:firstLineChars="0"/>
              <w:jc w:val="left"/>
              <w:rPr>
                <w:rFonts w:ascii="仿宋_GB2312" w:hAnsi="宋体" w:eastAsia="仿宋_GB2312"/>
                <w:szCs w:val="21"/>
              </w:rPr>
            </w:pPr>
            <w:r>
              <w:rPr>
                <w:rFonts w:hint="eastAsia" w:ascii="仿宋_GB2312" w:hAnsi="宋体" w:eastAsia="仿宋_GB2312"/>
                <w:szCs w:val="21"/>
              </w:rPr>
              <w:t>负责车间设备及人员生产定额效率数据测定，车间生产管理及异常处理；</w:t>
            </w:r>
          </w:p>
          <w:p>
            <w:pPr>
              <w:pStyle w:val="14"/>
              <w:numPr>
                <w:ilvl w:val="0"/>
                <w:numId w:val="5"/>
              </w:numPr>
              <w:ind w:firstLineChars="0"/>
              <w:jc w:val="left"/>
              <w:rPr>
                <w:rFonts w:ascii="仿宋_GB2312" w:hAnsi="宋体" w:eastAsia="仿宋_GB2312"/>
                <w:szCs w:val="21"/>
              </w:rPr>
            </w:pPr>
            <w:r>
              <w:rPr>
                <w:rFonts w:hint="eastAsia" w:ascii="仿宋_GB2312" w:hAnsi="宋体" w:eastAsia="仿宋_GB2312"/>
                <w:szCs w:val="21"/>
              </w:rPr>
              <w:t>负责车间日、周、月异常流失时间的原因与数据分析；</w:t>
            </w:r>
          </w:p>
          <w:p>
            <w:pPr>
              <w:adjustRightInd w:val="0"/>
              <w:spacing w:line="400" w:lineRule="exact"/>
              <w:jc w:val="center"/>
              <w:rPr>
                <w:rFonts w:ascii="仿宋_GB2312" w:hAnsi="宋体"/>
                <w:sz w:val="21"/>
                <w:szCs w:val="21"/>
              </w:rPr>
            </w:pPr>
            <w:r>
              <w:rPr>
                <w:rFonts w:hint="eastAsia" w:ascii="仿宋_GB2312" w:hAnsi="宋体"/>
                <w:sz w:val="21"/>
                <w:szCs w:val="21"/>
              </w:rPr>
              <w:t>4、负责车间精益现场活动资料收集与整理；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6</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智能制造管理</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2</w:t>
            </w:r>
          </w:p>
        </w:tc>
        <w:tc>
          <w:tcPr>
            <w:tcW w:w="885" w:type="dxa"/>
            <w:vAlign w:val="center"/>
          </w:tcPr>
          <w:p>
            <w:pPr>
              <w:jc w:val="center"/>
              <w:rPr>
                <w:rFonts w:ascii="仿宋_GB2312" w:hAnsi="宋体"/>
                <w:sz w:val="21"/>
                <w:szCs w:val="21"/>
              </w:rPr>
            </w:pPr>
            <w:r>
              <w:rPr>
                <w:rFonts w:hint="eastAsia" w:ascii="仿宋_GB2312" w:hAnsi="宋体"/>
                <w:sz w:val="21"/>
                <w:szCs w:val="21"/>
              </w:rPr>
              <w:t>本科及以上</w:t>
            </w:r>
          </w:p>
        </w:tc>
        <w:tc>
          <w:tcPr>
            <w:tcW w:w="1575" w:type="dxa"/>
            <w:gridSpan w:val="2"/>
            <w:vAlign w:val="center"/>
          </w:tcPr>
          <w:p>
            <w:pPr>
              <w:adjustRightInd w:val="0"/>
              <w:spacing w:line="400" w:lineRule="exact"/>
              <w:jc w:val="center"/>
              <w:rPr>
                <w:rFonts w:ascii="仿宋_GB2312" w:hAnsi="宋体"/>
                <w:sz w:val="21"/>
                <w:szCs w:val="21"/>
              </w:rPr>
            </w:pPr>
            <w:r>
              <w:rPr>
                <w:rFonts w:hint="eastAsia" w:ascii="仿宋_GB2312" w:hAnsi="宋体"/>
                <w:sz w:val="21"/>
                <w:szCs w:val="21"/>
              </w:rPr>
              <w:t>工业自动化，物联网工程，计算机科学与工程，通信工程</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4-6K/月</w:t>
            </w:r>
          </w:p>
        </w:tc>
        <w:tc>
          <w:tcPr>
            <w:tcW w:w="3196" w:type="dxa"/>
            <w:gridSpan w:val="3"/>
            <w:vAlign w:val="center"/>
          </w:tcPr>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参与评估工业联网乱硬件方案、建设工业联网通讯部件；</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推进职能制造项目实施，对接规划部门，跟进改造工作；</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利用计算机语言进行信号处理、模电数电，控制系统操作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7</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品质管理员</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12</w:t>
            </w:r>
          </w:p>
        </w:tc>
        <w:tc>
          <w:tcPr>
            <w:tcW w:w="885" w:type="dxa"/>
            <w:vAlign w:val="center"/>
          </w:tcPr>
          <w:p>
            <w:pPr>
              <w:jc w:val="center"/>
              <w:rPr>
                <w:rFonts w:ascii="仿宋_GB2312" w:hAnsi="宋体"/>
                <w:sz w:val="21"/>
                <w:szCs w:val="21"/>
              </w:rPr>
            </w:pPr>
            <w:r>
              <w:rPr>
                <w:rFonts w:hint="eastAsia" w:ascii="仿宋_GB2312" w:hAnsi="宋体"/>
                <w:sz w:val="21"/>
                <w:szCs w:val="21"/>
              </w:rPr>
              <w:t>大专及以上</w:t>
            </w:r>
          </w:p>
        </w:tc>
        <w:tc>
          <w:tcPr>
            <w:tcW w:w="1575" w:type="dxa"/>
            <w:gridSpan w:val="2"/>
            <w:vAlign w:val="center"/>
          </w:tcPr>
          <w:p>
            <w:pPr>
              <w:adjustRightInd w:val="0"/>
              <w:spacing w:line="400" w:lineRule="exact"/>
              <w:jc w:val="center"/>
              <w:rPr>
                <w:rFonts w:ascii="仿宋_GB2312" w:hAnsi="宋体"/>
                <w:sz w:val="21"/>
                <w:szCs w:val="21"/>
              </w:rPr>
            </w:pPr>
            <w:r>
              <w:rPr>
                <w:rFonts w:hint="eastAsia" w:ascii="仿宋_GB2312" w:hAnsi="宋体"/>
                <w:sz w:val="21"/>
                <w:szCs w:val="21"/>
              </w:rPr>
              <w:t>高分子</w:t>
            </w:r>
            <w:r>
              <w:rPr>
                <w:rFonts w:ascii="仿宋_GB2312" w:hAnsi="宋体"/>
                <w:sz w:val="21"/>
                <w:szCs w:val="21"/>
              </w:rPr>
              <w:t>材料与科学，</w:t>
            </w:r>
            <w:r>
              <w:rPr>
                <w:rFonts w:hint="eastAsia" w:ascii="仿宋_GB2312" w:hAnsi="宋体"/>
                <w:sz w:val="21"/>
                <w:szCs w:val="21"/>
              </w:rPr>
              <w:t>化学，应用化学</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3.8-6K/月</w:t>
            </w:r>
          </w:p>
        </w:tc>
        <w:tc>
          <w:tcPr>
            <w:tcW w:w="3196" w:type="dxa"/>
            <w:gridSpan w:val="3"/>
            <w:vAlign w:val="center"/>
          </w:tcPr>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负责原辅材料的入厂检测及成品的出厂标准检测；</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汇总分析产品品质问题，为产品质量改善做数据支持。</w:t>
            </w:r>
          </w:p>
          <w:p>
            <w:pPr>
              <w:pStyle w:val="14"/>
              <w:numPr>
                <w:ilvl w:val="0"/>
                <w:numId w:val="6"/>
              </w:numPr>
              <w:ind w:firstLineChars="0"/>
              <w:jc w:val="left"/>
              <w:rPr>
                <w:rFonts w:ascii="仿宋_GB2312" w:hAnsi="宋体"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8</w:t>
            </w:r>
          </w:p>
        </w:tc>
        <w:tc>
          <w:tcPr>
            <w:tcW w:w="839" w:type="dxa"/>
            <w:vAlign w:val="center"/>
          </w:tcPr>
          <w:p>
            <w:pPr>
              <w:spacing w:line="0" w:lineRule="atLeast"/>
              <w:jc w:val="center"/>
              <w:rPr>
                <w:rFonts w:ascii="仿宋_GB2312" w:hAnsi="宋体"/>
                <w:sz w:val="21"/>
                <w:szCs w:val="21"/>
              </w:rPr>
            </w:pPr>
            <w:r>
              <w:rPr>
                <w:rFonts w:hint="eastAsia" w:ascii="仿宋_GB2312" w:hAnsi="宋体"/>
                <w:sz w:val="21"/>
                <w:szCs w:val="21"/>
              </w:rPr>
              <w:t>业务员</w:t>
            </w:r>
          </w:p>
        </w:tc>
        <w:tc>
          <w:tcPr>
            <w:tcW w:w="705" w:type="dxa"/>
            <w:gridSpan w:val="2"/>
            <w:vAlign w:val="center"/>
          </w:tcPr>
          <w:p>
            <w:pPr>
              <w:spacing w:line="0" w:lineRule="atLeast"/>
              <w:jc w:val="center"/>
              <w:rPr>
                <w:rFonts w:ascii="仿宋_GB2312" w:hAnsi="宋体"/>
                <w:sz w:val="21"/>
                <w:szCs w:val="21"/>
              </w:rPr>
            </w:pPr>
            <w:r>
              <w:rPr>
                <w:rFonts w:hint="eastAsia" w:ascii="仿宋_GB2312" w:hAnsi="宋体"/>
                <w:sz w:val="21"/>
                <w:szCs w:val="21"/>
              </w:rPr>
              <w:t>20</w:t>
            </w:r>
          </w:p>
        </w:tc>
        <w:tc>
          <w:tcPr>
            <w:tcW w:w="885" w:type="dxa"/>
            <w:vAlign w:val="center"/>
          </w:tcPr>
          <w:p>
            <w:pPr>
              <w:jc w:val="center"/>
              <w:rPr>
                <w:rFonts w:ascii="仿宋_GB2312" w:hAnsi="宋体"/>
                <w:sz w:val="21"/>
                <w:szCs w:val="21"/>
              </w:rPr>
            </w:pPr>
            <w:r>
              <w:rPr>
                <w:rFonts w:hint="eastAsia" w:ascii="仿宋_GB2312" w:hAnsi="宋体"/>
                <w:sz w:val="21"/>
                <w:szCs w:val="21"/>
              </w:rPr>
              <w:t>大专及以上</w:t>
            </w:r>
          </w:p>
        </w:tc>
        <w:tc>
          <w:tcPr>
            <w:tcW w:w="1575" w:type="dxa"/>
            <w:gridSpan w:val="2"/>
            <w:vAlign w:val="center"/>
          </w:tcPr>
          <w:p>
            <w:pPr>
              <w:adjustRightInd w:val="0"/>
              <w:spacing w:line="400" w:lineRule="exact"/>
              <w:jc w:val="center"/>
              <w:rPr>
                <w:rFonts w:ascii="仿宋_GB2312" w:hAnsi="宋体"/>
                <w:sz w:val="21"/>
                <w:szCs w:val="21"/>
              </w:rPr>
            </w:pPr>
            <w:r>
              <w:rPr>
                <w:rFonts w:hint="eastAsia" w:ascii="仿宋_GB2312" w:hAnsi="宋体"/>
                <w:sz w:val="21"/>
                <w:szCs w:val="21"/>
              </w:rPr>
              <w:t>市场营销优先，专业不限</w:t>
            </w:r>
          </w:p>
        </w:tc>
        <w:tc>
          <w:tcPr>
            <w:tcW w:w="1455" w:type="dxa"/>
            <w:gridSpan w:val="2"/>
            <w:vAlign w:val="center"/>
          </w:tcPr>
          <w:p>
            <w:pPr>
              <w:widowControl/>
              <w:spacing w:line="0" w:lineRule="atLeast"/>
              <w:jc w:val="center"/>
              <w:rPr>
                <w:rFonts w:ascii="仿宋_GB2312" w:hAnsi="宋体"/>
                <w:sz w:val="21"/>
                <w:szCs w:val="21"/>
              </w:rPr>
            </w:pPr>
            <w:r>
              <w:rPr>
                <w:rFonts w:hint="eastAsia" w:ascii="仿宋_GB2312" w:hAnsi="宋体"/>
                <w:sz w:val="21"/>
                <w:szCs w:val="21"/>
              </w:rPr>
              <w:t>4.5K+提成</w:t>
            </w:r>
          </w:p>
        </w:tc>
        <w:tc>
          <w:tcPr>
            <w:tcW w:w="3196" w:type="dxa"/>
            <w:gridSpan w:val="3"/>
            <w:vAlign w:val="center"/>
          </w:tcPr>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正确掌握市场和竞争对手信息，辅助经销商开展小区推广，召开水工会和开发终端客户，完成区域销售目标；</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熟悉公司本区域经销网点的基本情况，熟练掌握公司产品知识和产品价格；</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负责对经销商通报新款产品消息和传达公司相关政策；</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负责本区域的物料，产品等到货情况的跟踪；</w:t>
            </w:r>
          </w:p>
          <w:p>
            <w:pPr>
              <w:pStyle w:val="14"/>
              <w:numPr>
                <w:ilvl w:val="0"/>
                <w:numId w:val="6"/>
              </w:numPr>
              <w:ind w:firstLineChars="0"/>
              <w:jc w:val="left"/>
              <w:rPr>
                <w:rFonts w:ascii="仿宋_GB2312" w:hAnsi="宋体" w:eastAsia="仿宋_GB2312"/>
                <w:szCs w:val="21"/>
              </w:rPr>
            </w:pPr>
            <w:r>
              <w:rPr>
                <w:rFonts w:hint="eastAsia" w:ascii="仿宋_GB2312" w:hAnsi="宋体" w:eastAsia="仿宋_GB2312"/>
                <w:szCs w:val="21"/>
              </w:rPr>
              <w:t>负责完成公司安排的户外广告，小区广告等投放工作；</w:t>
            </w:r>
          </w:p>
        </w:tc>
      </w:tr>
    </w:tbl>
    <w:p>
      <w:pPr>
        <w:adjustRightInd w:val="0"/>
        <w:spacing w:line="592" w:lineRule="exact"/>
        <w:jc w:val="center"/>
        <w:rPr>
          <w:rFonts w:ascii="方正小标宋简体" w:hAnsi="宋体" w:eastAsia="方正小标宋简体"/>
          <w:color w:val="000000"/>
          <w:kern w:val="0"/>
          <w:sz w:val="44"/>
          <w:szCs w:val="44"/>
        </w:rPr>
      </w:pPr>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小标宋简体">
    <w:altName w:val="Times New Roman"/>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rPr>
    </w:pPr>
    <w:r>
      <w:fldChar w:fldCharType="begin"/>
    </w:r>
    <w:r>
      <w:instrText xml:space="preserve">PAGE   \* MERGEFORMAT</w:instrText>
    </w:r>
    <w:r>
      <w:fldChar w:fldCharType="separate"/>
    </w:r>
    <w:r>
      <w:rPr>
        <w:lang w:val="zh-CN"/>
      </w:rPr>
      <w:t>7</w:t>
    </w:r>
    <w:r>
      <w:rPr>
        <w:lang w:val="zh-CN"/>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50235"/>
    <w:multiLevelType w:val="multilevel"/>
    <w:tmpl w:val="322502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AF1125"/>
    <w:multiLevelType w:val="multilevel"/>
    <w:tmpl w:val="45AF112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6D7C9F"/>
    <w:multiLevelType w:val="multilevel"/>
    <w:tmpl w:val="596D7C9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F8D5595"/>
    <w:multiLevelType w:val="multilevel"/>
    <w:tmpl w:val="6F8D55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1CF56C7"/>
    <w:multiLevelType w:val="multilevel"/>
    <w:tmpl w:val="71CF56C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A604CB"/>
    <w:multiLevelType w:val="multilevel"/>
    <w:tmpl w:val="7AA604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1"/>
    <w:rsid w:val="00027225"/>
    <w:rsid w:val="00035480"/>
    <w:rsid w:val="00042B90"/>
    <w:rsid w:val="000454EC"/>
    <w:rsid w:val="000564BB"/>
    <w:rsid w:val="000C26CD"/>
    <w:rsid w:val="00105613"/>
    <w:rsid w:val="00116547"/>
    <w:rsid w:val="00166FC7"/>
    <w:rsid w:val="00187A77"/>
    <w:rsid w:val="001A205C"/>
    <w:rsid w:val="001C52F0"/>
    <w:rsid w:val="00207DB4"/>
    <w:rsid w:val="00213724"/>
    <w:rsid w:val="00260160"/>
    <w:rsid w:val="002D5E26"/>
    <w:rsid w:val="003143CB"/>
    <w:rsid w:val="0036002F"/>
    <w:rsid w:val="00376C4E"/>
    <w:rsid w:val="00401578"/>
    <w:rsid w:val="004152A0"/>
    <w:rsid w:val="004328CF"/>
    <w:rsid w:val="00447409"/>
    <w:rsid w:val="004D130A"/>
    <w:rsid w:val="004D71D1"/>
    <w:rsid w:val="004E3C77"/>
    <w:rsid w:val="005147D9"/>
    <w:rsid w:val="00597860"/>
    <w:rsid w:val="005C7112"/>
    <w:rsid w:val="005D04AC"/>
    <w:rsid w:val="00646BE3"/>
    <w:rsid w:val="00660CD4"/>
    <w:rsid w:val="007778BE"/>
    <w:rsid w:val="00784BB6"/>
    <w:rsid w:val="00787981"/>
    <w:rsid w:val="007C2C1A"/>
    <w:rsid w:val="007D7259"/>
    <w:rsid w:val="00812665"/>
    <w:rsid w:val="00886FFF"/>
    <w:rsid w:val="008E1528"/>
    <w:rsid w:val="009105C9"/>
    <w:rsid w:val="009701F8"/>
    <w:rsid w:val="009F4A3F"/>
    <w:rsid w:val="00A03350"/>
    <w:rsid w:val="00A42A16"/>
    <w:rsid w:val="00AB45D6"/>
    <w:rsid w:val="00AD1989"/>
    <w:rsid w:val="00B34696"/>
    <w:rsid w:val="00BB48BC"/>
    <w:rsid w:val="00BE29B9"/>
    <w:rsid w:val="00BF2FEF"/>
    <w:rsid w:val="00C14D42"/>
    <w:rsid w:val="00CA2C7A"/>
    <w:rsid w:val="00CB5522"/>
    <w:rsid w:val="00CD5C22"/>
    <w:rsid w:val="00D01117"/>
    <w:rsid w:val="00D67870"/>
    <w:rsid w:val="00D74911"/>
    <w:rsid w:val="00DD3BF0"/>
    <w:rsid w:val="00E411D0"/>
    <w:rsid w:val="00E53BE7"/>
    <w:rsid w:val="00EB277D"/>
    <w:rsid w:val="00ED42B6"/>
    <w:rsid w:val="00EE02FE"/>
    <w:rsid w:val="00F14EAF"/>
    <w:rsid w:val="00F53DEF"/>
    <w:rsid w:val="00F62AB7"/>
    <w:rsid w:val="00FC6766"/>
    <w:rsid w:val="01E27264"/>
    <w:rsid w:val="04F01920"/>
    <w:rsid w:val="06385DAA"/>
    <w:rsid w:val="06AB2B99"/>
    <w:rsid w:val="06E86FAC"/>
    <w:rsid w:val="092A320E"/>
    <w:rsid w:val="0C2262F4"/>
    <w:rsid w:val="0EBA04E7"/>
    <w:rsid w:val="0F940279"/>
    <w:rsid w:val="114524CF"/>
    <w:rsid w:val="1252293C"/>
    <w:rsid w:val="13396487"/>
    <w:rsid w:val="13F056BB"/>
    <w:rsid w:val="165E32EF"/>
    <w:rsid w:val="16A23917"/>
    <w:rsid w:val="2030022B"/>
    <w:rsid w:val="214F0DC8"/>
    <w:rsid w:val="218A44CD"/>
    <w:rsid w:val="29AC57D8"/>
    <w:rsid w:val="2A3074A5"/>
    <w:rsid w:val="2A457C9E"/>
    <w:rsid w:val="2A597FAB"/>
    <w:rsid w:val="2B286E01"/>
    <w:rsid w:val="2EE50D63"/>
    <w:rsid w:val="2F016246"/>
    <w:rsid w:val="2F8929F3"/>
    <w:rsid w:val="30841F58"/>
    <w:rsid w:val="314B557A"/>
    <w:rsid w:val="33BC2E9B"/>
    <w:rsid w:val="33EF3474"/>
    <w:rsid w:val="38E4603C"/>
    <w:rsid w:val="3DBF274D"/>
    <w:rsid w:val="40DF7C9D"/>
    <w:rsid w:val="40F2097C"/>
    <w:rsid w:val="450A6950"/>
    <w:rsid w:val="475E01E8"/>
    <w:rsid w:val="476D4B34"/>
    <w:rsid w:val="48834EEF"/>
    <w:rsid w:val="489E04AC"/>
    <w:rsid w:val="4A9D2377"/>
    <w:rsid w:val="4BC440D0"/>
    <w:rsid w:val="4E247059"/>
    <w:rsid w:val="4E9F0DFA"/>
    <w:rsid w:val="50646C62"/>
    <w:rsid w:val="52BC4FF5"/>
    <w:rsid w:val="537B4C79"/>
    <w:rsid w:val="53D95876"/>
    <w:rsid w:val="55AD2CE3"/>
    <w:rsid w:val="570A3BFC"/>
    <w:rsid w:val="58365CED"/>
    <w:rsid w:val="5F5F48E0"/>
    <w:rsid w:val="607025C7"/>
    <w:rsid w:val="6210182B"/>
    <w:rsid w:val="63162E3A"/>
    <w:rsid w:val="631F3F4B"/>
    <w:rsid w:val="67D056A4"/>
    <w:rsid w:val="68246472"/>
    <w:rsid w:val="69FD4911"/>
    <w:rsid w:val="6A513D4B"/>
    <w:rsid w:val="6B2E5353"/>
    <w:rsid w:val="6F804C2C"/>
    <w:rsid w:val="710925C0"/>
    <w:rsid w:val="719E136D"/>
    <w:rsid w:val="73817B68"/>
    <w:rsid w:val="747203EA"/>
    <w:rsid w:val="77B0430A"/>
    <w:rsid w:val="782C644F"/>
    <w:rsid w:val="79E16635"/>
    <w:rsid w:val="7B380C03"/>
    <w:rsid w:val="7BB3654A"/>
    <w:rsid w:val="7C023701"/>
    <w:rsid w:val="7D2F6766"/>
    <w:rsid w:val="7F804D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rFonts w:ascii="Calibri" w:hAnsi="Calibri" w:eastAsia="宋体" w:cs="Calibri"/>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ascii="Calibri" w:hAnsi="Calibri" w:eastAsia="宋体" w:cs="Calibri"/>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99"/>
    <w:rPr>
      <w:color w:val="0000FF"/>
      <w:u w:val="single"/>
    </w:rPr>
  </w:style>
  <w:style w:type="character" w:customStyle="1" w:styleId="9">
    <w:name w:val="批注框文本 Char"/>
    <w:basedOn w:val="7"/>
    <w:link w:val="2"/>
    <w:semiHidden/>
    <w:qFormat/>
    <w:locked/>
    <w:uiPriority w:val="99"/>
    <w:rPr>
      <w:rFonts w:ascii="Times New Roman" w:hAnsi="Times New Roman" w:eastAsia="仿宋_GB2312" w:cs="Times New Roman"/>
      <w:sz w:val="18"/>
      <w:szCs w:val="18"/>
    </w:rPr>
  </w:style>
  <w:style w:type="character" w:customStyle="1" w:styleId="10">
    <w:name w:val="页脚 Char"/>
    <w:basedOn w:val="7"/>
    <w:link w:val="3"/>
    <w:qFormat/>
    <w:locked/>
    <w:uiPriority w:val="99"/>
    <w:rPr>
      <w:sz w:val="18"/>
      <w:szCs w:val="18"/>
    </w:rPr>
  </w:style>
  <w:style w:type="character" w:customStyle="1" w:styleId="11">
    <w:name w:val="页眉 Char"/>
    <w:basedOn w:val="7"/>
    <w:link w:val="4"/>
    <w:qFormat/>
    <w:locked/>
    <w:uiPriority w:val="99"/>
    <w:rPr>
      <w:sz w:val="18"/>
      <w:szCs w:val="18"/>
    </w:rPr>
  </w:style>
  <w:style w:type="character" w:customStyle="1" w:styleId="12">
    <w:name w:val="NormalCharacter"/>
    <w:qFormat/>
    <w:uiPriority w:val="99"/>
  </w:style>
  <w:style w:type="paragraph" w:customStyle="1" w:styleId="13">
    <w:name w:val="p0"/>
    <w:basedOn w:val="1"/>
    <w:qFormat/>
    <w:uiPriority w:val="0"/>
    <w:pPr>
      <w:widowControl/>
      <w:spacing w:before="100" w:beforeAutospacing="1" w:after="100" w:afterAutospacing="1"/>
      <w:jc w:val="left"/>
    </w:pPr>
    <w:rPr>
      <w:rFonts w:hAnsi="宋体" w:cs="宋体"/>
      <w:kern w:val="0"/>
      <w:sz w:val="24"/>
      <w:szCs w:val="24"/>
    </w:rPr>
  </w:style>
  <w:style w:type="paragraph" w:styleId="14">
    <w:name w:val="List Paragraph"/>
    <w:basedOn w:val="1"/>
    <w:qFormat/>
    <w:uiPriority w:val="34"/>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Win7w.Com</Company>
  <Pages>8</Pages>
  <Words>563</Words>
  <Characters>3210</Characters>
  <Lines>26</Lines>
  <Paragraphs>7</Paragraphs>
  <TotalTime>1</TotalTime>
  <ScaleCrop>false</ScaleCrop>
  <LinksUpToDate>false</LinksUpToDate>
  <CharactersWithSpaces>3766</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2020-10-10T08:46:00Z</dcterms:created>
  <dc:creator>Win7w</dc:creator>
  <cp:lastModifiedBy>Clementine</cp:lastModifiedBy>
  <cp:lastPrinted>2020-09-07T02:22:00Z</cp:lastPrinted>
  <dcterms:modified xsi:type="dcterms:W3CDTF">2020-10-22T08:50:57Z</dcterms:modified>
  <dc:title>关于组团赴河南省高校参加校园招聘会的预通知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