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861"/>
        <w:gridCol w:w="223"/>
        <w:gridCol w:w="733"/>
        <w:gridCol w:w="150"/>
        <w:gridCol w:w="1250"/>
        <w:gridCol w:w="568"/>
        <w:gridCol w:w="1700"/>
        <w:gridCol w:w="539"/>
        <w:gridCol w:w="14"/>
        <w:gridCol w:w="593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33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545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浙江圣达生物药业股份有限公司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2755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上市公司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3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545" w:type="dxa"/>
            <w:gridSpan w:val="5"/>
            <w:vAlign w:val="center"/>
          </w:tcPr>
          <w:p>
            <w:pPr>
              <w:pStyle w:val="14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浙江省天台县始丰东路18号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2755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3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1345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庞宇鹏</w:t>
            </w:r>
          </w:p>
        </w:tc>
        <w:tc>
          <w:tcPr>
            <w:tcW w:w="2200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231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13758609392      短号679392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3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1345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220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231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FE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33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545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2187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5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87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5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87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5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87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33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5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87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sz w:val="24"/>
                <w:lang w:val="en-US" w:eastAsia="zh-CN"/>
              </w:rPr>
              <w:t>河南工业大学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圣达生物药业股份有限公司（证券代码：603079），主要从事食品和饲料添加剂的研发、生产及销售，产品包括生物素、叶酸等维生素类产品以及乳酸链球菌素、纳他霉素等生物保鲜剂类。严格按照GMP管理体系组织生产经营工作，通过了ISO22000、BRC、FAMI-QS、OHSAS18001等国际体系认证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系国家高新技术企业，建有省、市级院士工作站、省级技术中心及省级研究院，与资深研发机构、著名学府联合建立了“产、学、研”工作站。公司产品竞争力强，是全球最大的生物素供应商，子公司新银象则是全球乳酸链球菌素及纳他霉素的主要供应商之一，是乳酸链球菌素行业标准和纳他霉素国家标准的主要起草单位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司秉承“客户至上，以人为本，专业进取，诚信共赢”的核心价值观，专注于维生素和天然保鲜剂产业，致力成为全球食品和动物营养领域，为客户提供“安全、可持续、创新”的食品、饲料添加剂和天然保鲜剂解决方案的优秀企业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会计储备干部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会计、财务管理相关专业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有初级会计证书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自动化专员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大专及以上学历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自动化、机械设计制造及其自动化、电气工程及其自动化等相关专业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相关工作岗位实习经验者优先考虑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有机合成工艺研发专员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化工类相关专业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有研发工作岗位实习经验者优先考虑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食品/发酵研发专员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食品科学与工程、微生物、发酵相关专业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有研发工作岗位实习经验者优先考虑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采购专员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化工、机械、预决算、财务等专业相关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1、熟练使用各种基本电脑软件及工具。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2、工作热情度高、积极主动。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3、会沟通、协调能力好。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4、能适应出差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人事专员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人力资源、工商管理相关专业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有人力资源管理师证书证书或者有人事实习经验者优先考虑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基建工程师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大专及以上学历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建筑工程相关专业（工民建）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会熟练操作CAD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药品注册专员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化工、医药相关专业</w:t>
            </w:r>
          </w:p>
        </w:tc>
        <w:tc>
          <w:tcPr>
            <w:tcW w:w="519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1、熟悉国内、国外药品注册法规和流程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2、英语六级及以上英语水平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法务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法律相关专业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取得司法类证书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环保工程师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环境保护、化学、化工等相关专业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有相关工作岗位实习经验者优先考虑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11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销售（内贸）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化学、生物、营销等相关专业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有相关工作岗位实习经验者优先考虑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12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销售（外贸）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本科及以上学历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化学、生物、营销、国际贸易等相关专业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  <w:r>
              <w:rPr>
                <w:rFonts w:hint="eastAsia" w:hAnsi="宋体"/>
                <w:sz w:val="24"/>
              </w:rPr>
              <w:t>、英语六级及以上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  <w:r>
              <w:rPr>
                <w:rFonts w:hint="eastAsia" w:hAnsi="宋体"/>
                <w:sz w:val="24"/>
              </w:rPr>
              <w:t>、有相关岗位实习经验者优先考虑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        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27C7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B053A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441DE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18AB48D6"/>
    <w:rsid w:val="2030022B"/>
    <w:rsid w:val="214F0DC8"/>
    <w:rsid w:val="218A44CD"/>
    <w:rsid w:val="271D2F8F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D355DA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批注框文本 Char"/>
    <w:basedOn w:val="8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Char"/>
    <w:basedOn w:val="8"/>
    <w:link w:val="3"/>
    <w:qFormat/>
    <w:locked/>
    <w:uiPriority w:val="99"/>
    <w:rPr>
      <w:sz w:val="18"/>
      <w:szCs w:val="18"/>
    </w:rPr>
  </w:style>
  <w:style w:type="character" w:customStyle="1" w:styleId="12">
    <w:name w:val="页眉 Char"/>
    <w:basedOn w:val="8"/>
    <w:link w:val="4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1</Pages>
  <Words>483</Words>
  <Characters>2759</Characters>
  <Lines>22</Lines>
  <Paragraphs>6</Paragraphs>
  <TotalTime>0</TotalTime>
  <ScaleCrop>false</ScaleCrop>
  <LinksUpToDate>false</LinksUpToDate>
  <CharactersWithSpaces>3236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2020-10-21T01:35:31Z</dcterms:modified>
  <dc:title>关于组团赴河南省高校参加校园招聘会的预通知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