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黑体" w:eastAsia="黑体"/>
          <w:b/>
          <w:bCs/>
          <w:sz w:val="32"/>
          <w:szCs w:val="32"/>
        </w:rPr>
      </w:pP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r>
        <w:rPr>
          <w:rFonts w:hint="eastAsia" w:ascii="黑体" w:eastAsia="黑体"/>
          <w:b/>
          <w:bCs/>
          <w:sz w:val="32"/>
          <w:szCs w:val="32"/>
        </w:rPr>
        <w:drawing>
          <wp:inline distT="0" distB="0" distL="0" distR="0">
            <wp:extent cx="914400" cy="962025"/>
            <wp:effectExtent l="0" t="0" r="0" b="9525"/>
            <wp:docPr id="1" name="Picture 3" descr="iaobia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aobiaob"/>
                    <pic:cNvPicPr>
                      <a:picLocks noChangeAspect="1" noChangeArrowheads="1"/>
                    </pic:cNvPicPr>
                  </pic:nvPicPr>
                  <pic:blipFill>
                    <a:blip r:embed="rId9" cstate="print"/>
                    <a:srcRect/>
                    <a:stretch>
                      <a:fillRect/>
                    </a:stretch>
                  </pic:blipFill>
                  <pic:spPr>
                    <a:xfrm>
                      <a:off x="0" y="0"/>
                      <a:ext cx="914400" cy="962025"/>
                    </a:xfrm>
                    <a:prstGeom prst="rect">
                      <a:avLst/>
                    </a:prstGeom>
                    <a:noFill/>
                    <a:ln w="9525">
                      <a:noFill/>
                      <a:miter lim="800000"/>
                      <a:headEnd/>
                      <a:tailEnd/>
                    </a:ln>
                  </pic:spPr>
                </pic:pic>
              </a:graphicData>
            </a:graphic>
          </wp:inline>
        </w:drawing>
      </w:r>
      <w:r>
        <w:rPr>
          <w:rFonts w:hint="eastAsia" w:ascii="黑体" w:eastAsia="黑体"/>
          <w:b/>
          <w:bCs/>
          <w:sz w:val="32"/>
          <w:szCs w:val="32"/>
        </w:rPr>
        <w:drawing>
          <wp:inline distT="0" distB="0" distL="0" distR="0">
            <wp:extent cx="2228850" cy="533400"/>
            <wp:effectExtent l="0" t="0" r="0" b="0"/>
            <wp:docPr id="2" name="Picture 4" descr="icafo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cafont1"/>
                    <pic:cNvPicPr>
                      <a:picLocks noChangeAspect="1" noChangeArrowheads="1"/>
                    </pic:cNvPicPr>
                  </pic:nvPicPr>
                  <pic:blipFill>
                    <a:blip r:embed="rId10" cstate="print"/>
                    <a:srcRect/>
                    <a:stretch>
                      <a:fillRect/>
                    </a:stretch>
                  </pic:blipFill>
                  <pic:spPr>
                    <a:xfrm>
                      <a:off x="0" y="0"/>
                      <a:ext cx="2228850" cy="533400"/>
                    </a:xfrm>
                    <a:prstGeom prst="rect">
                      <a:avLst/>
                    </a:prstGeom>
                    <a:noFill/>
                    <a:ln w="9525">
                      <a:noFill/>
                      <a:miter lim="800000"/>
                      <a:headEnd/>
                      <a:tailEnd/>
                    </a:ln>
                  </pic:spPr>
                </pic:pic>
              </a:graphicData>
            </a:graphic>
          </wp:inline>
        </w:drawing>
      </w:r>
    </w:p>
    <w:p>
      <w:pPr>
        <w:spacing w:line="360" w:lineRule="auto"/>
        <w:jc w:val="center"/>
        <w:rPr>
          <w:rFonts w:ascii="黑体" w:eastAsia="黑体"/>
          <w:b/>
          <w:bCs/>
          <w:sz w:val="32"/>
          <w:szCs w:val="32"/>
        </w:rPr>
      </w:pPr>
    </w:p>
    <w:p>
      <w:pPr>
        <w:spacing w:line="360" w:lineRule="auto"/>
        <w:jc w:val="center"/>
        <w:rPr>
          <w:rFonts w:ascii="黑体" w:eastAsia="黑体"/>
          <w:b/>
          <w:bCs/>
          <w:sz w:val="32"/>
          <w:szCs w:val="32"/>
        </w:rPr>
      </w:pPr>
    </w:p>
    <w:p>
      <w:pPr>
        <w:jc w:val="center"/>
        <w:rPr>
          <w:rFonts w:ascii="华文中宋" w:hAnsi="华文中宋" w:eastAsia="华文中宋"/>
          <w:b/>
          <w:sz w:val="52"/>
          <w:szCs w:val="52"/>
        </w:rPr>
      </w:pPr>
      <w:r>
        <w:rPr>
          <w:rFonts w:hint="eastAsia" w:ascii="华文中宋" w:hAnsi="华文中宋" w:eastAsia="华文中宋"/>
          <w:b/>
          <w:sz w:val="52"/>
          <w:szCs w:val="52"/>
        </w:rPr>
        <w:t>2019届毕业生就业质量年度报告</w:t>
      </w:r>
    </w:p>
    <w:p>
      <w:pPr>
        <w:jc w:val="center"/>
        <w:rPr>
          <w:rFonts w:ascii="仿宋_GB2312" w:hAnsi="仿宋" w:eastAsia="仿宋_GB2312"/>
          <w:sz w:val="36"/>
          <w:szCs w:val="36"/>
        </w:rPr>
      </w:pPr>
      <w:r>
        <w:rPr>
          <w:rFonts w:hint="eastAsia" w:ascii="仿宋_GB2312" w:hAnsi="仿宋" w:eastAsia="仿宋_GB2312"/>
          <w:sz w:val="36"/>
          <w:szCs w:val="36"/>
        </w:rPr>
        <w:t>(数据截至2019年9月1日)</w:t>
      </w: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jc w:val="center"/>
        <w:rPr>
          <w:rFonts w:ascii="仿宋_GB2312" w:hAnsi="仿宋" w:eastAsia="仿宋_GB2312"/>
          <w:sz w:val="32"/>
          <w:szCs w:val="32"/>
        </w:rPr>
      </w:pPr>
      <w:r>
        <w:rPr>
          <w:rFonts w:hint="eastAsia" w:ascii="仿宋_GB2312" w:hAnsi="仿宋" w:eastAsia="仿宋_GB2312"/>
          <w:sz w:val="32"/>
          <w:szCs w:val="32"/>
        </w:rPr>
        <w:t>就业指导服务中心</w:t>
      </w:r>
    </w:p>
    <w:p>
      <w:pPr>
        <w:jc w:val="center"/>
        <w:rPr>
          <w:rFonts w:ascii="仿宋_GB2312" w:hAnsi="仿宋" w:eastAsia="仿宋_GB2312"/>
          <w:sz w:val="32"/>
          <w:szCs w:val="32"/>
        </w:rPr>
      </w:pPr>
      <w:r>
        <w:rPr>
          <w:rFonts w:hint="eastAsia" w:ascii="仿宋_GB2312" w:hAnsi="仿宋" w:eastAsia="仿宋_GB2312"/>
          <w:sz w:val="32"/>
          <w:szCs w:val="32"/>
        </w:rPr>
        <w:t>2019年11月14日</w:t>
      </w:r>
    </w:p>
    <w:p>
      <w:pPr>
        <w:jc w:val="center"/>
        <w:rPr>
          <w:rFonts w:ascii="宋体" w:hAnsi="宋体"/>
        </w:rPr>
        <w:sectPr>
          <w:footerReference r:id="rId3" w:type="default"/>
          <w:type w:val="continuous"/>
          <w:pgSz w:w="11906" w:h="16838"/>
          <w:pgMar w:top="1440" w:right="1800" w:bottom="1134" w:left="1800" w:header="851" w:footer="539" w:gutter="0"/>
          <w:cols w:space="720" w:num="1"/>
          <w:docGrid w:type="lines" w:linePitch="312" w:charSpace="0"/>
        </w:sectPr>
      </w:pPr>
    </w:p>
    <w:sdt>
      <w:sdtPr>
        <w:rPr>
          <w:rFonts w:ascii="Times New Roman" w:hAnsi="Times New Roman" w:eastAsia="宋体" w:cs="Times New Roman"/>
          <w:b w:val="0"/>
          <w:bCs w:val="0"/>
          <w:color w:val="auto"/>
          <w:kern w:val="2"/>
          <w:sz w:val="21"/>
          <w:szCs w:val="20"/>
          <w:lang w:val="zh-CN"/>
        </w:rPr>
        <w:id w:val="-1213959427"/>
        <w:docPartObj>
          <w:docPartGallery w:val="Table of Contents"/>
          <w:docPartUnique/>
        </w:docPartObj>
      </w:sdtPr>
      <w:sdtEndPr>
        <w:rPr>
          <w:rFonts w:ascii="Times New Roman" w:hAnsi="Times New Roman" w:eastAsia="宋体" w:cs="Times New Roman"/>
          <w:b w:val="0"/>
          <w:bCs w:val="0"/>
          <w:color w:val="auto"/>
          <w:kern w:val="2"/>
          <w:sz w:val="21"/>
          <w:szCs w:val="20"/>
          <w:lang w:val="zh-CN"/>
        </w:rPr>
      </w:sdtEndPr>
      <w:sdtContent>
        <w:sdt>
          <w:sdtPr>
            <w:rPr>
              <w:rFonts w:ascii="Times New Roman" w:hAnsi="Times New Roman" w:eastAsia="宋体" w:cs="Times New Roman"/>
              <w:b w:val="0"/>
              <w:bCs w:val="0"/>
              <w:color w:val="auto"/>
              <w:kern w:val="2"/>
              <w:sz w:val="24"/>
              <w:szCs w:val="22"/>
              <w:lang w:val="zh-CN"/>
            </w:rPr>
            <w:id w:val="-1213959427"/>
            <w:docPartObj>
              <w:docPartGallery w:val="Table of Contents"/>
              <w:docPartUnique/>
            </w:docPartObj>
          </w:sdtPr>
          <w:sdtEndPr>
            <w:rPr>
              <w:rFonts w:ascii="Times New Roman" w:hAnsi="Times New Roman" w:eastAsia="宋体" w:cs="Times New Roman"/>
              <w:b w:val="0"/>
              <w:bCs w:val="0"/>
              <w:color w:val="auto"/>
              <w:kern w:val="2"/>
              <w:sz w:val="21"/>
              <w:szCs w:val="20"/>
              <w:lang w:val="zh-CN"/>
            </w:rPr>
          </w:sdtEndPr>
          <w:sdtContent>
            <w:p>
              <w:pPr>
                <w:pStyle w:val="40"/>
                <w:jc w:val="center"/>
                <w:rPr>
                  <w:rFonts w:hint="eastAsia"/>
                  <w:color w:val="auto"/>
                  <w:sz w:val="32"/>
                  <w:szCs w:val="32"/>
                </w:rPr>
              </w:pPr>
              <w:r>
                <w:rPr>
                  <w:color w:val="auto"/>
                  <w:sz w:val="32"/>
                  <w:szCs w:val="32"/>
                  <w:lang w:val="zh-CN"/>
                </w:rPr>
                <w:t>目</w:t>
              </w:r>
              <w:r>
                <w:rPr>
                  <w:rFonts w:hint="eastAsia"/>
                  <w:color w:val="auto"/>
                  <w:sz w:val="32"/>
                  <w:szCs w:val="32"/>
                  <w:lang w:val="en-US" w:eastAsia="zh-CN"/>
                </w:rPr>
                <w:t xml:space="preserve">  </w:t>
              </w:r>
              <w:r>
                <w:rPr>
                  <w:color w:val="auto"/>
                  <w:sz w:val="32"/>
                  <w:szCs w:val="32"/>
                  <w:lang w:val="zh-CN"/>
                </w:rPr>
                <w:t>录</w:t>
              </w:r>
            </w:p>
            <w:p>
              <w:pPr>
                <w:pStyle w:val="13"/>
                <w:tabs>
                  <w:tab w:val="right" w:leader="dot" w:pos="8306"/>
                </w:tabs>
              </w:pPr>
              <w:r>
                <w:rPr>
                  <w:sz w:val="24"/>
                  <w:szCs w:val="24"/>
                </w:rPr>
                <w:fldChar w:fldCharType="begin"/>
              </w:r>
              <w:r>
                <w:rPr>
                  <w:sz w:val="24"/>
                  <w:szCs w:val="24"/>
                </w:rPr>
                <w:instrText xml:space="preserve"> TOC \o "1-3" \h \z \u </w:instrText>
              </w:r>
              <w:r>
                <w:rPr>
                  <w:sz w:val="24"/>
                  <w:szCs w:val="24"/>
                </w:rPr>
                <w:fldChar w:fldCharType="separate"/>
              </w:r>
              <w:r>
                <w:rPr>
                  <w:szCs w:val="24"/>
                </w:rPr>
                <w:fldChar w:fldCharType="begin"/>
              </w:r>
              <w:r>
                <w:rPr>
                  <w:szCs w:val="24"/>
                </w:rPr>
                <w:instrText xml:space="preserve"> HYPERLINK \l _Toc13799 </w:instrText>
              </w:r>
              <w:r>
                <w:rPr>
                  <w:szCs w:val="24"/>
                </w:rPr>
                <w:fldChar w:fldCharType="separate"/>
              </w:r>
              <w:r>
                <w:rPr>
                  <w:rFonts w:hint="eastAsia" w:ascii="黑体" w:hAnsi="黑体" w:eastAsia="黑体"/>
                  <w:szCs w:val="32"/>
                </w:rPr>
                <w:t>一、学校概况</w:t>
              </w:r>
              <w:r>
                <w:tab/>
              </w:r>
              <w:r>
                <w:fldChar w:fldCharType="begin"/>
              </w:r>
              <w:r>
                <w:instrText xml:space="preserve"> PAGEREF _Toc13799 </w:instrText>
              </w:r>
              <w:r>
                <w:fldChar w:fldCharType="separate"/>
              </w:r>
              <w:r>
                <w:t>1</w:t>
              </w:r>
              <w:r>
                <w:fldChar w:fldCharType="end"/>
              </w:r>
              <w:r>
                <w:rPr>
                  <w:szCs w:val="24"/>
                </w:rPr>
                <w:fldChar w:fldCharType="end"/>
              </w:r>
            </w:p>
            <w:p>
              <w:pPr>
                <w:pStyle w:val="13"/>
                <w:tabs>
                  <w:tab w:val="right" w:leader="dot" w:pos="8306"/>
                </w:tabs>
              </w:pPr>
              <w:r>
                <w:rPr>
                  <w:bCs/>
                  <w:szCs w:val="24"/>
                  <w:lang w:val="zh-CN"/>
                </w:rPr>
                <w:fldChar w:fldCharType="begin"/>
              </w:r>
              <w:r>
                <w:rPr>
                  <w:bCs/>
                  <w:szCs w:val="24"/>
                  <w:lang w:val="zh-CN"/>
                </w:rPr>
                <w:instrText xml:space="preserve"> HYPERLINK \l _Toc17969 </w:instrText>
              </w:r>
              <w:r>
                <w:rPr>
                  <w:bCs/>
                  <w:szCs w:val="24"/>
                  <w:lang w:val="zh-CN"/>
                </w:rPr>
                <w:fldChar w:fldCharType="separate"/>
              </w:r>
              <w:r>
                <w:rPr>
                  <w:rFonts w:hint="eastAsia" w:ascii="黑体" w:hAnsi="黑体" w:eastAsia="黑体"/>
                  <w:szCs w:val="32"/>
                </w:rPr>
                <w:t>二、毕业生基本情况</w:t>
              </w:r>
              <w:r>
                <w:tab/>
              </w:r>
              <w:r>
                <w:fldChar w:fldCharType="begin"/>
              </w:r>
              <w:r>
                <w:instrText xml:space="preserve"> PAGEREF _Toc17969 </w:instrText>
              </w:r>
              <w:r>
                <w:fldChar w:fldCharType="separate"/>
              </w:r>
              <w:r>
                <w:t>4</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_Toc14 </w:instrText>
              </w:r>
              <w:r>
                <w:rPr>
                  <w:bCs/>
                  <w:szCs w:val="24"/>
                  <w:lang w:val="zh-CN"/>
                </w:rPr>
                <w:fldChar w:fldCharType="separate"/>
              </w:r>
              <w:r>
                <w:rPr>
                  <w:rFonts w:hint="eastAsia" w:ascii="仿宋_GB2312" w:hAnsi="仿宋" w:eastAsia="仿宋_GB2312"/>
                  <w:szCs w:val="32"/>
                </w:rPr>
                <w:t>（一）毕业生规模</w:t>
              </w:r>
              <w:r>
                <w:tab/>
              </w:r>
              <w:r>
                <w:fldChar w:fldCharType="begin"/>
              </w:r>
              <w:r>
                <w:instrText xml:space="preserve"> PAGEREF _Toc14 </w:instrText>
              </w:r>
              <w:r>
                <w:fldChar w:fldCharType="separate"/>
              </w:r>
              <w:r>
                <w:t>4</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_Toc3897 </w:instrText>
              </w:r>
              <w:r>
                <w:rPr>
                  <w:bCs/>
                  <w:szCs w:val="24"/>
                  <w:lang w:val="zh-CN"/>
                </w:rPr>
                <w:fldChar w:fldCharType="separate"/>
              </w:r>
              <w:r>
                <w:rPr>
                  <w:rFonts w:hint="eastAsia" w:ascii="仿宋_GB2312" w:hAnsi="仿宋" w:eastAsia="仿宋_GB2312"/>
                  <w:szCs w:val="32"/>
                </w:rPr>
                <w:t>（二）毕业生结构</w:t>
              </w:r>
              <w:r>
                <w:tab/>
              </w:r>
              <w:r>
                <w:fldChar w:fldCharType="begin"/>
              </w:r>
              <w:r>
                <w:instrText xml:space="preserve"> PAGEREF _Toc3897 </w:instrText>
              </w:r>
              <w:r>
                <w:fldChar w:fldCharType="separate"/>
              </w:r>
              <w:r>
                <w:t>4</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_Toc29860 </w:instrText>
              </w:r>
              <w:r>
                <w:rPr>
                  <w:bCs/>
                  <w:szCs w:val="24"/>
                  <w:lang w:val="zh-CN"/>
                </w:rPr>
                <w:fldChar w:fldCharType="separate"/>
              </w:r>
              <w:r>
                <w:rPr>
                  <w:rFonts w:ascii="仿宋_GB2312" w:hAnsi="仿宋" w:eastAsia="仿宋_GB2312"/>
                  <w:szCs w:val="32"/>
                </w:rPr>
                <w:t xml:space="preserve">1. </w:t>
              </w:r>
              <w:r>
                <w:rPr>
                  <w:rFonts w:hint="eastAsia" w:ascii="仿宋_GB2312" w:hAnsi="仿宋" w:eastAsia="仿宋_GB2312"/>
                  <w:szCs w:val="32"/>
                </w:rPr>
                <w:t>学历结构</w:t>
              </w:r>
              <w:r>
                <w:tab/>
              </w:r>
              <w:r>
                <w:fldChar w:fldCharType="begin"/>
              </w:r>
              <w:r>
                <w:instrText xml:space="preserve"> PAGEREF _Toc29860 </w:instrText>
              </w:r>
              <w:r>
                <w:fldChar w:fldCharType="separate"/>
              </w:r>
              <w:r>
                <w:t>4</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_Toc28680 </w:instrText>
              </w:r>
              <w:r>
                <w:rPr>
                  <w:bCs/>
                  <w:szCs w:val="24"/>
                  <w:lang w:val="zh-CN"/>
                </w:rPr>
                <w:fldChar w:fldCharType="separate"/>
              </w:r>
              <w:r>
                <w:rPr>
                  <w:rFonts w:ascii="仿宋_GB2312" w:eastAsia="仿宋_GB2312"/>
                  <w:szCs w:val="32"/>
                </w:rPr>
                <w:t xml:space="preserve">2. </w:t>
              </w:r>
              <w:r>
                <w:rPr>
                  <w:rFonts w:hint="eastAsia" w:ascii="仿宋_GB2312" w:eastAsia="仿宋_GB2312"/>
                  <w:szCs w:val="32"/>
                </w:rPr>
                <w:t>性别结构</w:t>
              </w:r>
              <w:r>
                <w:tab/>
              </w:r>
              <w:r>
                <w:fldChar w:fldCharType="begin"/>
              </w:r>
              <w:r>
                <w:instrText xml:space="preserve"> PAGEREF _Toc28680 </w:instrText>
              </w:r>
              <w:r>
                <w:fldChar w:fldCharType="separate"/>
              </w:r>
              <w:r>
                <w:t>4</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_Toc3485 </w:instrText>
              </w:r>
              <w:r>
                <w:rPr>
                  <w:bCs/>
                  <w:szCs w:val="24"/>
                  <w:lang w:val="zh-CN"/>
                </w:rPr>
                <w:fldChar w:fldCharType="separate"/>
              </w:r>
              <w:r>
                <w:rPr>
                  <w:rFonts w:ascii="仿宋_GB2312" w:eastAsia="仿宋_GB2312"/>
                  <w:szCs w:val="32"/>
                </w:rPr>
                <w:t xml:space="preserve">3. </w:t>
              </w:r>
              <w:r>
                <w:rPr>
                  <w:rFonts w:hint="eastAsia" w:ascii="仿宋_GB2312" w:eastAsia="仿宋_GB2312"/>
                  <w:szCs w:val="32"/>
                </w:rPr>
                <w:t>生源结构</w:t>
              </w:r>
              <w:r>
                <w:tab/>
              </w:r>
              <w:r>
                <w:fldChar w:fldCharType="begin"/>
              </w:r>
              <w:r>
                <w:instrText xml:space="preserve"> PAGEREF _Toc3485 </w:instrText>
              </w:r>
              <w:r>
                <w:fldChar w:fldCharType="separate"/>
              </w:r>
              <w:r>
                <w:t>5</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_Toc3467 </w:instrText>
              </w:r>
              <w:r>
                <w:rPr>
                  <w:bCs/>
                  <w:szCs w:val="24"/>
                  <w:lang w:val="zh-CN"/>
                </w:rPr>
                <w:fldChar w:fldCharType="separate"/>
              </w:r>
              <w:r>
                <w:rPr>
                  <w:rFonts w:hint="eastAsia" w:ascii="仿宋_GB2312" w:hAnsi="宋体" w:eastAsia="仿宋_GB2312"/>
                  <w:szCs w:val="32"/>
                </w:rPr>
                <w:t>4.院系结构</w:t>
              </w:r>
              <w:r>
                <w:tab/>
              </w:r>
              <w:r>
                <w:fldChar w:fldCharType="begin"/>
              </w:r>
              <w:r>
                <w:instrText xml:space="preserve"> PAGEREF _Toc3467 </w:instrText>
              </w:r>
              <w:r>
                <w:fldChar w:fldCharType="separate"/>
              </w:r>
              <w:r>
                <w:t>7</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_Toc11244 </w:instrText>
              </w:r>
              <w:r>
                <w:rPr>
                  <w:bCs/>
                  <w:szCs w:val="24"/>
                  <w:lang w:val="zh-CN"/>
                </w:rPr>
                <w:fldChar w:fldCharType="separate"/>
              </w:r>
              <w:r>
                <w:rPr>
                  <w:rFonts w:hint="eastAsia" w:ascii="仿宋_GB2312" w:eastAsia="仿宋_GB2312"/>
                  <w:szCs w:val="32"/>
                </w:rPr>
                <w:t>（一）总体就业情况</w:t>
              </w:r>
              <w:r>
                <w:tab/>
              </w:r>
              <w:r>
                <w:fldChar w:fldCharType="begin"/>
              </w:r>
              <w:r>
                <w:instrText xml:space="preserve"> PAGEREF _Toc11244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_Toc15800 </w:instrText>
              </w:r>
              <w:r>
                <w:rPr>
                  <w:bCs/>
                  <w:szCs w:val="24"/>
                  <w:lang w:val="zh-CN"/>
                </w:rPr>
                <w:fldChar w:fldCharType="separate"/>
              </w:r>
              <w:r>
                <w:rPr>
                  <w:rFonts w:hint="eastAsia" w:ascii="仿宋_GB2312" w:hAnsi="宋体" w:eastAsia="仿宋_GB2312"/>
                  <w:szCs w:val="32"/>
                </w:rPr>
                <w:t>1.分学历就业、升学情况</w:t>
              </w:r>
              <w:r>
                <w:tab/>
              </w:r>
              <w:r>
                <w:fldChar w:fldCharType="begin"/>
              </w:r>
              <w:r>
                <w:instrText xml:space="preserve"> PAGEREF _Toc15800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_Toc11066 </w:instrText>
              </w:r>
              <w:r>
                <w:rPr>
                  <w:bCs/>
                  <w:szCs w:val="24"/>
                  <w:lang w:val="zh-CN"/>
                </w:rPr>
                <w:fldChar w:fldCharType="separate"/>
              </w:r>
              <w:r>
                <w:rPr>
                  <w:rFonts w:hint="eastAsia" w:ascii="仿宋_GB2312" w:hAnsi="宋体" w:eastAsia="仿宋_GB2312"/>
                  <w:szCs w:val="32"/>
                </w:rPr>
                <w:t>2.各学院就业率情况</w:t>
              </w:r>
              <w:r>
                <w:tab/>
              </w:r>
              <w:r>
                <w:fldChar w:fldCharType="begin"/>
              </w:r>
              <w:r>
                <w:instrText xml:space="preserve"> PAGEREF _Toc11066 </w:instrText>
              </w:r>
              <w:r>
                <w:fldChar w:fldCharType="separate"/>
              </w:r>
              <w:r>
                <w:t>2</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_Toc31990 </w:instrText>
              </w:r>
              <w:r>
                <w:rPr>
                  <w:bCs/>
                  <w:szCs w:val="24"/>
                  <w:lang w:val="zh-CN"/>
                </w:rPr>
                <w:fldChar w:fldCharType="separate"/>
              </w:r>
              <w:r>
                <w:rPr>
                  <w:rFonts w:hint="eastAsia" w:ascii="仿宋_GB2312" w:eastAsia="仿宋_GB2312"/>
                  <w:szCs w:val="32"/>
                </w:rPr>
                <w:t>（二）分性别就业情况</w:t>
              </w:r>
              <w:r>
                <w:tab/>
              </w:r>
              <w:r>
                <w:fldChar w:fldCharType="begin"/>
              </w:r>
              <w:r>
                <w:instrText xml:space="preserve"> PAGEREF _Toc31990 </w:instrText>
              </w:r>
              <w:r>
                <w:fldChar w:fldCharType="separate"/>
              </w:r>
              <w:r>
                <w:t>2</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_Toc28711 </w:instrText>
              </w:r>
              <w:r>
                <w:rPr>
                  <w:bCs/>
                  <w:szCs w:val="24"/>
                  <w:lang w:val="zh-CN"/>
                </w:rPr>
                <w:fldChar w:fldCharType="separate"/>
              </w:r>
              <w:r>
                <w:rPr>
                  <w:rFonts w:hint="eastAsia" w:ascii="仿宋_GB2312" w:eastAsia="仿宋_GB2312"/>
                  <w:bCs/>
                  <w:szCs w:val="32"/>
                </w:rPr>
                <w:t>（三）本科生升学情况</w:t>
              </w:r>
              <w:r>
                <w:tab/>
              </w:r>
              <w:r>
                <w:fldChar w:fldCharType="begin"/>
              </w:r>
              <w:r>
                <w:instrText xml:space="preserve"> PAGEREF _Toc28711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_Toc30681 </w:instrText>
              </w:r>
              <w:r>
                <w:rPr>
                  <w:bCs/>
                  <w:szCs w:val="24"/>
                  <w:lang w:val="zh-CN"/>
                </w:rPr>
                <w:fldChar w:fldCharType="separate"/>
              </w:r>
              <w:r>
                <w:rPr>
                  <w:rFonts w:hint="eastAsia" w:ascii="仿宋_GB2312" w:hAnsi="宋体" w:eastAsia="仿宋_GB2312"/>
                  <w:szCs w:val="32"/>
                </w:rPr>
                <w:t>1.各学院本科生升学率情况</w:t>
              </w:r>
              <w:r>
                <w:tab/>
              </w:r>
              <w:r>
                <w:fldChar w:fldCharType="begin"/>
              </w:r>
              <w:r>
                <w:instrText xml:space="preserve"> PAGEREF _Toc30681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_Toc11686 </w:instrText>
              </w:r>
              <w:r>
                <w:rPr>
                  <w:bCs/>
                  <w:szCs w:val="24"/>
                  <w:lang w:val="zh-CN"/>
                </w:rPr>
                <w:fldChar w:fldCharType="separate"/>
              </w:r>
              <w:r>
                <w:rPr>
                  <w:rFonts w:hint="eastAsia" w:ascii="仿宋_GB2312" w:eastAsia="仿宋_GB2312"/>
                  <w:szCs w:val="32"/>
                </w:rPr>
                <w:t>2.本科生国内升学院校层次</w:t>
              </w:r>
              <w:r>
                <w:tab/>
              </w:r>
              <w:r>
                <w:fldChar w:fldCharType="begin"/>
              </w:r>
              <w:r>
                <w:instrText xml:space="preserve"> PAGEREF _Toc11686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_Toc4999 </w:instrText>
              </w:r>
              <w:r>
                <w:rPr>
                  <w:bCs/>
                  <w:szCs w:val="24"/>
                  <w:lang w:val="zh-CN"/>
                </w:rPr>
                <w:fldChar w:fldCharType="separate"/>
              </w:r>
              <w:r>
                <w:rPr>
                  <w:rFonts w:hint="eastAsia" w:ascii="仿宋_GB2312" w:eastAsia="仿宋_GB2312"/>
                  <w:szCs w:val="32"/>
                </w:rPr>
                <w:t>3.各学院本科毕业生升学院校情况</w:t>
              </w:r>
              <w:r>
                <w:tab/>
              </w:r>
              <w:r>
                <w:fldChar w:fldCharType="begin"/>
              </w:r>
              <w:r>
                <w:instrText xml:space="preserve"> PAGEREF _Toc4999 </w:instrText>
              </w:r>
              <w:r>
                <w:fldChar w:fldCharType="separate"/>
              </w:r>
              <w:r>
                <w:t>2</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_Toc16955 </w:instrText>
              </w:r>
              <w:r>
                <w:rPr>
                  <w:bCs/>
                  <w:szCs w:val="24"/>
                  <w:lang w:val="zh-CN"/>
                </w:rPr>
                <w:fldChar w:fldCharType="separate"/>
              </w:r>
              <w:r>
                <w:rPr>
                  <w:rFonts w:hint="eastAsia" w:ascii="仿宋_GB2312" w:eastAsia="仿宋_GB2312"/>
                  <w:szCs w:val="32"/>
                </w:rPr>
                <w:t>（四）就业单位流向</w:t>
              </w:r>
              <w:r>
                <w:tab/>
              </w:r>
              <w:r>
                <w:fldChar w:fldCharType="begin"/>
              </w:r>
              <w:r>
                <w:instrText xml:space="preserve"> PAGEREF _Toc16955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_Toc29318 </w:instrText>
              </w:r>
              <w:r>
                <w:rPr>
                  <w:bCs/>
                  <w:szCs w:val="24"/>
                  <w:lang w:val="zh-CN"/>
                </w:rPr>
                <w:fldChar w:fldCharType="separate"/>
              </w:r>
              <w:r>
                <w:rPr>
                  <w:rFonts w:hint="eastAsia" w:ascii="仿宋_GB2312" w:hAnsi="宋体" w:eastAsia="仿宋_GB2312"/>
                  <w:szCs w:val="32"/>
                </w:rPr>
                <w:t>1.总体流向</w:t>
              </w:r>
              <w:r>
                <w:tab/>
              </w:r>
              <w:r>
                <w:fldChar w:fldCharType="begin"/>
              </w:r>
              <w:r>
                <w:instrText xml:space="preserve"> PAGEREF _Toc29318 </w:instrText>
              </w:r>
              <w:r>
                <w:fldChar w:fldCharType="separate"/>
              </w:r>
              <w:r>
                <w:t>2</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_Toc21538 </w:instrText>
              </w:r>
              <w:r>
                <w:rPr>
                  <w:bCs/>
                  <w:szCs w:val="24"/>
                  <w:lang w:val="zh-CN"/>
                </w:rPr>
                <w:fldChar w:fldCharType="separate"/>
              </w:r>
              <w:r>
                <w:rPr>
                  <w:rFonts w:hint="eastAsia" w:ascii="仿宋_GB2312" w:hAnsi="宋体" w:eastAsia="仿宋_GB2312"/>
                  <w:szCs w:val="32"/>
                </w:rPr>
                <w:t>2.单位性质分布</w:t>
              </w:r>
              <w:r>
                <w:tab/>
              </w:r>
              <w:r>
                <w:fldChar w:fldCharType="begin"/>
              </w:r>
              <w:r>
                <w:instrText xml:space="preserve"> PAGEREF _Toc21538 </w:instrText>
              </w:r>
              <w:r>
                <w:fldChar w:fldCharType="separate"/>
              </w:r>
              <w:r>
                <w:t>3</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_Toc8390 </w:instrText>
              </w:r>
              <w:r>
                <w:rPr>
                  <w:bCs/>
                  <w:szCs w:val="24"/>
                  <w:lang w:val="zh-CN"/>
                </w:rPr>
                <w:fldChar w:fldCharType="separate"/>
              </w:r>
              <w:r>
                <w:rPr>
                  <w:rFonts w:hint="eastAsia" w:ascii="仿宋_GB2312" w:hAnsi="仿宋" w:eastAsia="仿宋_GB2312"/>
                  <w:bCs/>
                  <w:szCs w:val="32"/>
                </w:rPr>
                <w:t>（五）地域流向</w:t>
              </w:r>
              <w:r>
                <w:tab/>
              </w:r>
              <w:r>
                <w:fldChar w:fldCharType="begin"/>
              </w:r>
              <w:r>
                <w:instrText xml:space="preserve"> PAGEREF _Toc8390 </w:instrText>
              </w:r>
              <w:r>
                <w:fldChar w:fldCharType="separate"/>
              </w:r>
              <w:r>
                <w:t>3</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_Toc19364 </w:instrText>
              </w:r>
              <w:r>
                <w:rPr>
                  <w:bCs/>
                  <w:szCs w:val="24"/>
                  <w:lang w:val="zh-CN"/>
                </w:rPr>
                <w:fldChar w:fldCharType="separate"/>
              </w:r>
              <w:r>
                <w:rPr>
                  <w:rFonts w:hint="eastAsia" w:ascii="仿宋_GB2312" w:hAnsi="宋体" w:eastAsia="仿宋_GB2312"/>
                  <w:szCs w:val="32"/>
                </w:rPr>
                <w:t>1.各学历层次毕业生地域流向</w:t>
              </w:r>
              <w:r>
                <w:tab/>
              </w:r>
              <w:r>
                <w:fldChar w:fldCharType="begin"/>
              </w:r>
              <w:r>
                <w:instrText xml:space="preserve"> PAGEREF _Toc19364 </w:instrText>
              </w:r>
              <w:r>
                <w:fldChar w:fldCharType="separate"/>
              </w:r>
              <w:r>
                <w:t>3</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_Toc10524 </w:instrText>
              </w:r>
              <w:r>
                <w:rPr>
                  <w:bCs/>
                  <w:szCs w:val="24"/>
                  <w:lang w:val="zh-CN"/>
                </w:rPr>
                <w:fldChar w:fldCharType="separate"/>
              </w:r>
              <w:r>
                <w:rPr>
                  <w:rFonts w:hint="eastAsia" w:ascii="仿宋_GB2312" w:hAnsi="宋体" w:eastAsia="仿宋_GB2312"/>
                  <w:szCs w:val="32"/>
                </w:rPr>
                <w:t>2.接收本科毕业生的世界五百强企业情况</w:t>
              </w:r>
              <w:r>
                <w:tab/>
              </w:r>
              <w:r>
                <w:fldChar w:fldCharType="begin"/>
              </w:r>
              <w:r>
                <w:instrText xml:space="preserve"> PAGEREF _Toc10524 </w:instrText>
              </w:r>
              <w:r>
                <w:fldChar w:fldCharType="separate"/>
              </w:r>
              <w:r>
                <w:t>7</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_Toc1321 </w:instrText>
              </w:r>
              <w:r>
                <w:rPr>
                  <w:bCs/>
                  <w:szCs w:val="24"/>
                  <w:lang w:val="zh-CN"/>
                </w:rPr>
                <w:fldChar w:fldCharType="separate"/>
              </w:r>
              <w:r>
                <w:rPr>
                  <w:rFonts w:ascii="仿宋_GB2312" w:hAnsi="仿宋" w:eastAsia="仿宋_GB2312"/>
                  <w:szCs w:val="32"/>
                </w:rPr>
                <w:t xml:space="preserve">（七） </w:t>
              </w:r>
              <w:r>
                <w:rPr>
                  <w:rFonts w:hint="eastAsia" w:ascii="仿宋_GB2312" w:hAnsi="仿宋" w:eastAsia="仿宋_GB2312"/>
                  <w:szCs w:val="32"/>
                </w:rPr>
                <w:t>未就业毕业生</w:t>
              </w:r>
              <w:r>
                <w:tab/>
              </w:r>
              <w:r>
                <w:fldChar w:fldCharType="begin"/>
              </w:r>
              <w:r>
                <w:instrText xml:space="preserve"> PAGEREF _Toc1321 </w:instrText>
              </w:r>
              <w:r>
                <w:fldChar w:fldCharType="separate"/>
              </w:r>
              <w:r>
                <w:t>7</w:t>
              </w:r>
              <w:r>
                <w:fldChar w:fldCharType="end"/>
              </w:r>
              <w:r>
                <w:rPr>
                  <w:bCs/>
                  <w:szCs w:val="24"/>
                  <w:lang w:val="zh-CN"/>
                </w:rPr>
                <w:fldChar w:fldCharType="end"/>
              </w:r>
            </w:p>
            <w:p>
              <w:pPr>
                <w:pStyle w:val="13"/>
                <w:tabs>
                  <w:tab w:val="right" w:leader="dot" w:pos="8306"/>
                </w:tabs>
              </w:pPr>
              <w:r>
                <w:rPr>
                  <w:bCs/>
                  <w:szCs w:val="24"/>
                  <w:lang w:val="zh-CN"/>
                </w:rPr>
                <w:fldChar w:fldCharType="begin"/>
              </w:r>
              <w:r>
                <w:rPr>
                  <w:bCs/>
                  <w:szCs w:val="24"/>
                  <w:lang w:val="zh-CN"/>
                </w:rPr>
                <w:instrText xml:space="preserve"> HYPERLINK \l _Toc10133 </w:instrText>
              </w:r>
              <w:r>
                <w:rPr>
                  <w:bCs/>
                  <w:szCs w:val="24"/>
                  <w:lang w:val="zh-CN"/>
                </w:rPr>
                <w:fldChar w:fldCharType="separate"/>
              </w:r>
              <w:r>
                <w:rPr>
                  <w:rFonts w:hint="eastAsia" w:ascii="黑体" w:hAnsi="黑体" w:eastAsia="黑体"/>
                  <w:szCs w:val="32"/>
                </w:rPr>
                <w:t>三、校园招聘市场情况</w:t>
              </w:r>
              <w:r>
                <w:tab/>
              </w:r>
              <w:r>
                <w:fldChar w:fldCharType="begin"/>
              </w:r>
              <w:r>
                <w:instrText xml:space="preserve"> PAGEREF _Toc10133 </w:instrText>
              </w:r>
              <w:r>
                <w:fldChar w:fldCharType="separate"/>
              </w:r>
              <w:r>
                <w:t>8</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_Toc8391 </w:instrText>
              </w:r>
              <w:r>
                <w:rPr>
                  <w:bCs/>
                  <w:szCs w:val="24"/>
                  <w:lang w:val="zh-CN"/>
                </w:rPr>
                <w:fldChar w:fldCharType="separate"/>
              </w:r>
              <w:r>
                <w:rPr>
                  <w:rFonts w:hint="eastAsia" w:ascii="仿宋_GB2312" w:hAnsi="仿宋" w:eastAsia="仿宋_GB2312"/>
                  <w:szCs w:val="32"/>
                </w:rPr>
                <w:t>（一）招聘活动情况</w:t>
              </w:r>
              <w:r>
                <w:tab/>
              </w:r>
              <w:r>
                <w:fldChar w:fldCharType="begin"/>
              </w:r>
              <w:r>
                <w:instrText xml:space="preserve"> PAGEREF _Toc8391 </w:instrText>
              </w:r>
              <w:r>
                <w:fldChar w:fldCharType="separate"/>
              </w:r>
              <w:r>
                <w:t>8</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_Toc18239 </w:instrText>
              </w:r>
              <w:r>
                <w:rPr>
                  <w:bCs/>
                  <w:szCs w:val="24"/>
                  <w:lang w:val="zh-CN"/>
                </w:rPr>
                <w:fldChar w:fldCharType="separate"/>
              </w:r>
              <w:r>
                <w:rPr>
                  <w:rFonts w:ascii="仿宋_GB2312" w:hAnsi="宋体" w:eastAsia="仿宋_GB2312"/>
                  <w:szCs w:val="32"/>
                </w:rPr>
                <w:t xml:space="preserve">1. </w:t>
              </w:r>
              <w:r>
                <w:rPr>
                  <w:rFonts w:hint="eastAsia" w:ascii="仿宋_GB2312" w:hAnsi="宋体" w:eastAsia="仿宋_GB2312"/>
                  <w:szCs w:val="32"/>
                </w:rPr>
                <w:t>招聘会举办类型与场次</w:t>
              </w:r>
              <w:r>
                <w:tab/>
              </w:r>
              <w:r>
                <w:fldChar w:fldCharType="begin"/>
              </w:r>
              <w:r>
                <w:instrText xml:space="preserve"> PAGEREF _Toc18239 </w:instrText>
              </w:r>
              <w:r>
                <w:fldChar w:fldCharType="separate"/>
              </w:r>
              <w:r>
                <w:t>8</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_Toc17246 </w:instrText>
              </w:r>
              <w:r>
                <w:rPr>
                  <w:bCs/>
                  <w:szCs w:val="24"/>
                  <w:lang w:val="zh-CN"/>
                </w:rPr>
                <w:fldChar w:fldCharType="separate"/>
              </w:r>
              <w:r>
                <w:rPr>
                  <w:rFonts w:hint="eastAsia" w:ascii="仿宋_GB2312" w:hAnsi="宋体" w:eastAsia="仿宋_GB2312"/>
                  <w:szCs w:val="32"/>
                </w:rPr>
                <w:t>2.来校招聘单位情况分布图</w:t>
              </w:r>
              <w:r>
                <w:tab/>
              </w:r>
              <w:r>
                <w:fldChar w:fldCharType="begin"/>
              </w:r>
              <w:r>
                <w:instrText xml:space="preserve"> PAGEREF _Toc17246 </w:instrText>
              </w:r>
              <w:r>
                <w:fldChar w:fldCharType="separate"/>
              </w:r>
              <w:r>
                <w:t>8</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_Toc20315 </w:instrText>
              </w:r>
              <w:r>
                <w:rPr>
                  <w:bCs/>
                  <w:szCs w:val="24"/>
                  <w:lang w:val="zh-CN"/>
                </w:rPr>
                <w:fldChar w:fldCharType="separate"/>
              </w:r>
              <w:r>
                <w:rPr>
                  <w:rFonts w:hint="eastAsia" w:ascii="仿宋_GB2312" w:hAnsi="宋体" w:eastAsia="仿宋_GB2312"/>
                  <w:szCs w:val="32"/>
                </w:rPr>
                <w:t>3.各月份招聘统计表</w:t>
              </w:r>
              <w:r>
                <w:tab/>
              </w:r>
              <w:r>
                <w:fldChar w:fldCharType="begin"/>
              </w:r>
              <w:r>
                <w:instrText xml:space="preserve"> PAGEREF _Toc20315 </w:instrText>
              </w:r>
              <w:r>
                <w:fldChar w:fldCharType="separate"/>
              </w:r>
              <w:r>
                <w:t>9</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_Toc32131 </w:instrText>
              </w:r>
              <w:r>
                <w:rPr>
                  <w:bCs/>
                  <w:szCs w:val="24"/>
                  <w:lang w:val="zh-CN"/>
                </w:rPr>
                <w:fldChar w:fldCharType="separate"/>
              </w:r>
              <w:r>
                <w:rPr>
                  <w:rFonts w:hint="eastAsia" w:ascii="仿宋_GB2312" w:hAnsi="宋体" w:eastAsia="仿宋_GB2312"/>
                  <w:szCs w:val="32"/>
                </w:rPr>
                <w:t>4.各月综合双选会单位数量统计</w:t>
              </w:r>
              <w:r>
                <w:tab/>
              </w:r>
              <w:r>
                <w:fldChar w:fldCharType="begin"/>
              </w:r>
              <w:r>
                <w:instrText xml:space="preserve"> PAGEREF _Toc32131 </w:instrText>
              </w:r>
              <w:r>
                <w:fldChar w:fldCharType="separate"/>
              </w:r>
              <w:r>
                <w:t>10</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_Toc17182 </w:instrText>
              </w:r>
              <w:r>
                <w:rPr>
                  <w:bCs/>
                  <w:szCs w:val="24"/>
                  <w:lang w:val="zh-CN"/>
                </w:rPr>
                <w:fldChar w:fldCharType="separate"/>
              </w:r>
              <w:r>
                <w:rPr>
                  <w:rFonts w:hint="eastAsia" w:ascii="仿宋_GB2312" w:hAnsi="仿宋" w:eastAsia="仿宋_GB2312"/>
                  <w:szCs w:val="32"/>
                </w:rPr>
                <w:t>（二）就业质量分析</w:t>
              </w:r>
              <w:r>
                <w:tab/>
              </w:r>
              <w:r>
                <w:fldChar w:fldCharType="begin"/>
              </w:r>
              <w:r>
                <w:instrText xml:space="preserve"> PAGEREF _Toc17182 </w:instrText>
              </w:r>
              <w:r>
                <w:fldChar w:fldCharType="separate"/>
              </w:r>
              <w:r>
                <w:t>11</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_Toc28356 </w:instrText>
              </w:r>
              <w:r>
                <w:rPr>
                  <w:bCs/>
                  <w:szCs w:val="24"/>
                  <w:lang w:val="zh-CN"/>
                </w:rPr>
                <w:fldChar w:fldCharType="separate"/>
              </w:r>
              <w:r>
                <w:rPr>
                  <w:rFonts w:hint="eastAsia" w:ascii="仿宋_GB2312" w:hAnsi="宋体" w:eastAsia="仿宋_GB2312"/>
                  <w:szCs w:val="32"/>
                  <w:lang w:val="en-GB"/>
                </w:rPr>
                <w:t>1. 用人单位对毕业生的满意度</w:t>
              </w:r>
              <w:r>
                <w:tab/>
              </w:r>
              <w:r>
                <w:fldChar w:fldCharType="begin"/>
              </w:r>
              <w:r>
                <w:instrText xml:space="preserve"> PAGEREF _Toc28356 </w:instrText>
              </w:r>
              <w:r>
                <w:fldChar w:fldCharType="separate"/>
              </w:r>
              <w:r>
                <w:t>11</w:t>
              </w:r>
              <w:r>
                <w:fldChar w:fldCharType="end"/>
              </w:r>
              <w:r>
                <w:rPr>
                  <w:bCs/>
                  <w:szCs w:val="24"/>
                  <w:lang w:val="zh-CN"/>
                </w:rPr>
                <w:fldChar w:fldCharType="end"/>
              </w:r>
            </w:p>
            <w:p>
              <w:pPr>
                <w:pStyle w:val="8"/>
                <w:tabs>
                  <w:tab w:val="right" w:leader="dot" w:pos="8306"/>
                </w:tabs>
              </w:pPr>
              <w:r>
                <w:rPr>
                  <w:bCs/>
                  <w:szCs w:val="24"/>
                  <w:lang w:val="zh-CN"/>
                </w:rPr>
                <w:fldChar w:fldCharType="begin"/>
              </w:r>
              <w:r>
                <w:rPr>
                  <w:bCs/>
                  <w:szCs w:val="24"/>
                  <w:lang w:val="zh-CN"/>
                </w:rPr>
                <w:instrText xml:space="preserve"> HYPERLINK \l _Toc28770 </w:instrText>
              </w:r>
              <w:r>
                <w:rPr>
                  <w:bCs/>
                  <w:szCs w:val="24"/>
                  <w:lang w:val="zh-CN"/>
                </w:rPr>
                <w:fldChar w:fldCharType="separate"/>
              </w:r>
              <w:r>
                <w:rPr>
                  <w:rFonts w:hint="eastAsia" w:ascii="仿宋_GB2312" w:hAnsi="宋体" w:eastAsia="仿宋_GB2312"/>
                  <w:szCs w:val="32"/>
                  <w:lang w:val="en-GB"/>
                </w:rPr>
                <w:t>2. 毕业生对就业的满意度</w:t>
              </w:r>
              <w:r>
                <w:tab/>
              </w:r>
              <w:r>
                <w:fldChar w:fldCharType="begin"/>
              </w:r>
              <w:r>
                <w:instrText xml:space="preserve"> PAGEREF _Toc28770 </w:instrText>
              </w:r>
              <w:r>
                <w:fldChar w:fldCharType="separate"/>
              </w:r>
              <w:r>
                <w:t>13</w:t>
              </w:r>
              <w:r>
                <w:fldChar w:fldCharType="end"/>
              </w:r>
              <w:r>
                <w:rPr>
                  <w:bCs/>
                  <w:szCs w:val="24"/>
                  <w:lang w:val="zh-CN"/>
                </w:rPr>
                <w:fldChar w:fldCharType="end"/>
              </w:r>
            </w:p>
            <w:p>
              <w:pPr>
                <w:pStyle w:val="13"/>
                <w:tabs>
                  <w:tab w:val="right" w:leader="dot" w:pos="8306"/>
                </w:tabs>
              </w:pPr>
              <w:r>
                <w:rPr>
                  <w:bCs/>
                  <w:szCs w:val="24"/>
                  <w:lang w:val="zh-CN"/>
                </w:rPr>
                <w:fldChar w:fldCharType="begin"/>
              </w:r>
              <w:r>
                <w:rPr>
                  <w:bCs/>
                  <w:szCs w:val="24"/>
                  <w:lang w:val="zh-CN"/>
                </w:rPr>
                <w:instrText xml:space="preserve"> HYPERLINK \l _Toc12298 </w:instrText>
              </w:r>
              <w:r>
                <w:rPr>
                  <w:bCs/>
                  <w:szCs w:val="24"/>
                  <w:lang w:val="zh-CN"/>
                </w:rPr>
                <w:fldChar w:fldCharType="separate"/>
              </w:r>
              <w:r>
                <w:rPr>
                  <w:rFonts w:hint="eastAsia" w:ascii="黑体" w:hAnsi="黑体" w:eastAsia="黑体"/>
                  <w:szCs w:val="32"/>
                </w:rPr>
                <w:t>四、促进毕业生就业创业工作的具体措施</w:t>
              </w:r>
              <w:r>
                <w:tab/>
              </w:r>
              <w:r>
                <w:fldChar w:fldCharType="begin"/>
              </w:r>
              <w:r>
                <w:instrText xml:space="preserve"> PAGEREF _Toc12298 </w:instrText>
              </w:r>
              <w:r>
                <w:fldChar w:fldCharType="separate"/>
              </w:r>
              <w:r>
                <w:t>16</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_Toc27896 </w:instrText>
              </w:r>
              <w:r>
                <w:rPr>
                  <w:bCs/>
                  <w:szCs w:val="24"/>
                  <w:lang w:val="zh-CN"/>
                </w:rPr>
                <w:fldChar w:fldCharType="separate"/>
              </w:r>
              <w:r>
                <w:rPr>
                  <w:rFonts w:hint="eastAsia" w:ascii="仿宋_GB2312" w:hAnsi="仿宋" w:eastAsia="仿宋_GB2312"/>
                  <w:szCs w:val="32"/>
                </w:rPr>
                <w:t>（一）落实一把手工程，抓全员就业</w:t>
              </w:r>
              <w:r>
                <w:tab/>
              </w:r>
              <w:r>
                <w:fldChar w:fldCharType="begin"/>
              </w:r>
              <w:r>
                <w:instrText xml:space="preserve"> PAGEREF _Toc27896 </w:instrText>
              </w:r>
              <w:r>
                <w:fldChar w:fldCharType="separate"/>
              </w:r>
              <w:r>
                <w:t>16</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_Toc9773 </w:instrText>
              </w:r>
              <w:r>
                <w:rPr>
                  <w:bCs/>
                  <w:szCs w:val="24"/>
                  <w:lang w:val="zh-CN"/>
                </w:rPr>
                <w:fldChar w:fldCharType="separate"/>
              </w:r>
              <w:r>
                <w:rPr>
                  <w:rFonts w:hint="eastAsia" w:ascii="仿宋_GB2312" w:hAnsi="仿宋" w:eastAsia="仿宋_GB2312"/>
                  <w:szCs w:val="32"/>
                </w:rPr>
                <w:t>（二）着力价值引领，抓基层项目</w:t>
              </w:r>
              <w:r>
                <w:tab/>
              </w:r>
              <w:r>
                <w:fldChar w:fldCharType="begin"/>
              </w:r>
              <w:r>
                <w:instrText xml:space="preserve"> PAGEREF _Toc9773 </w:instrText>
              </w:r>
              <w:r>
                <w:fldChar w:fldCharType="separate"/>
              </w:r>
              <w:r>
                <w:t>16</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_Toc16254 </w:instrText>
              </w:r>
              <w:r>
                <w:rPr>
                  <w:bCs/>
                  <w:szCs w:val="24"/>
                  <w:lang w:val="zh-CN"/>
                </w:rPr>
                <w:fldChar w:fldCharType="separate"/>
              </w:r>
              <w:r>
                <w:rPr>
                  <w:rFonts w:hint="eastAsia" w:ascii="仿宋_GB2312" w:hAnsi="仿宋" w:eastAsia="仿宋_GB2312"/>
                  <w:szCs w:val="32"/>
                </w:rPr>
                <w:t>（三）利用“互联网+”，抓信息精准匹配</w:t>
              </w:r>
              <w:r>
                <w:tab/>
              </w:r>
              <w:r>
                <w:fldChar w:fldCharType="begin"/>
              </w:r>
              <w:r>
                <w:instrText xml:space="preserve"> PAGEREF _Toc16254 </w:instrText>
              </w:r>
              <w:r>
                <w:fldChar w:fldCharType="separate"/>
              </w:r>
              <w:r>
                <w:t>16</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_Toc9711 </w:instrText>
              </w:r>
              <w:r>
                <w:rPr>
                  <w:bCs/>
                  <w:szCs w:val="24"/>
                  <w:lang w:val="zh-CN"/>
                </w:rPr>
                <w:fldChar w:fldCharType="separate"/>
              </w:r>
              <w:r>
                <w:rPr>
                  <w:rFonts w:hint="eastAsia" w:ascii="仿宋_GB2312" w:hAnsi="仿宋" w:eastAsia="仿宋_GB2312"/>
                  <w:szCs w:val="32"/>
                </w:rPr>
                <w:t>（四）聚焦工作创新，抓精准服务</w:t>
              </w:r>
              <w:r>
                <w:tab/>
              </w:r>
              <w:r>
                <w:fldChar w:fldCharType="begin"/>
              </w:r>
              <w:r>
                <w:instrText xml:space="preserve"> PAGEREF _Toc9711 </w:instrText>
              </w:r>
              <w:r>
                <w:fldChar w:fldCharType="separate"/>
              </w:r>
              <w:r>
                <w:t>17</w:t>
              </w:r>
              <w:r>
                <w:fldChar w:fldCharType="end"/>
              </w:r>
              <w:r>
                <w:rPr>
                  <w:bCs/>
                  <w:szCs w:val="24"/>
                  <w:lang w:val="zh-CN"/>
                </w:rPr>
                <w:fldChar w:fldCharType="end"/>
              </w:r>
            </w:p>
            <w:p>
              <w:pPr>
                <w:pStyle w:val="16"/>
                <w:tabs>
                  <w:tab w:val="right" w:leader="dot" w:pos="8306"/>
                </w:tabs>
              </w:pPr>
              <w:r>
                <w:rPr>
                  <w:bCs/>
                  <w:szCs w:val="24"/>
                  <w:lang w:val="zh-CN"/>
                </w:rPr>
                <w:fldChar w:fldCharType="begin"/>
              </w:r>
              <w:r>
                <w:rPr>
                  <w:bCs/>
                  <w:szCs w:val="24"/>
                  <w:lang w:val="zh-CN"/>
                </w:rPr>
                <w:instrText xml:space="preserve"> HYPERLINK \l _Toc6112 </w:instrText>
              </w:r>
              <w:r>
                <w:rPr>
                  <w:bCs/>
                  <w:szCs w:val="24"/>
                  <w:lang w:val="zh-CN"/>
                </w:rPr>
                <w:fldChar w:fldCharType="separate"/>
              </w:r>
              <w:r>
                <w:rPr>
                  <w:rFonts w:hint="eastAsia" w:ascii="仿宋_GB2312" w:hAnsi="仿宋" w:eastAsia="仿宋_GB2312"/>
                  <w:szCs w:val="32"/>
                </w:rPr>
                <w:t>（五）深化教育改革，抓创新创业培育</w:t>
              </w:r>
              <w:r>
                <w:tab/>
              </w:r>
              <w:r>
                <w:fldChar w:fldCharType="begin"/>
              </w:r>
              <w:r>
                <w:instrText xml:space="preserve"> PAGEREF _Toc6112 </w:instrText>
              </w:r>
              <w:r>
                <w:fldChar w:fldCharType="separate"/>
              </w:r>
              <w:r>
                <w:t>18</w:t>
              </w:r>
              <w:r>
                <w:fldChar w:fldCharType="end"/>
              </w:r>
              <w:r>
                <w:rPr>
                  <w:bCs/>
                  <w:szCs w:val="24"/>
                  <w:lang w:val="zh-CN"/>
                </w:rPr>
                <w:fldChar w:fldCharType="end"/>
              </w:r>
            </w:p>
            <w:p>
              <w:pPr>
                <w:pStyle w:val="13"/>
                <w:tabs>
                  <w:tab w:val="right" w:leader="dot" w:pos="8306"/>
                </w:tabs>
              </w:pPr>
              <w:r>
                <w:rPr>
                  <w:bCs/>
                  <w:szCs w:val="24"/>
                  <w:lang w:val="zh-CN"/>
                </w:rPr>
                <w:fldChar w:fldCharType="begin"/>
              </w:r>
              <w:r>
                <w:rPr>
                  <w:bCs/>
                  <w:szCs w:val="24"/>
                  <w:lang w:val="zh-CN"/>
                </w:rPr>
                <w:instrText xml:space="preserve"> HYPERLINK \l _Toc23797 </w:instrText>
              </w:r>
              <w:r>
                <w:rPr>
                  <w:bCs/>
                  <w:szCs w:val="24"/>
                  <w:lang w:val="zh-CN"/>
                </w:rPr>
                <w:fldChar w:fldCharType="separate"/>
              </w:r>
              <w:r>
                <w:rPr>
                  <w:rFonts w:hint="eastAsia" w:ascii="仿宋_GB2312" w:eastAsia="仿宋_GB2312"/>
                  <w:bCs/>
                  <w:szCs w:val="32"/>
                </w:rPr>
                <w:t>附件1：</w:t>
              </w:r>
              <w:r>
                <w:rPr>
                  <w:rFonts w:hint="eastAsia"/>
                  <w:szCs w:val="28"/>
                </w:rPr>
                <w:t>2019届毕业生分学历各学院就业情况统计表</w:t>
              </w:r>
              <w:r>
                <w:tab/>
              </w:r>
              <w:r>
                <w:fldChar w:fldCharType="begin"/>
              </w:r>
              <w:r>
                <w:instrText xml:space="preserve"> PAGEREF _Toc23797 </w:instrText>
              </w:r>
              <w:r>
                <w:fldChar w:fldCharType="separate"/>
              </w:r>
              <w:r>
                <w:t>19</w:t>
              </w:r>
              <w:r>
                <w:fldChar w:fldCharType="end"/>
              </w:r>
              <w:r>
                <w:rPr>
                  <w:bCs/>
                  <w:szCs w:val="24"/>
                  <w:lang w:val="zh-CN"/>
                </w:rPr>
                <w:fldChar w:fldCharType="end"/>
              </w:r>
            </w:p>
            <w:p>
              <w:pPr>
                <w:pStyle w:val="13"/>
                <w:tabs>
                  <w:tab w:val="right" w:leader="dot" w:pos="8306"/>
                </w:tabs>
              </w:pPr>
              <w:r>
                <w:rPr>
                  <w:bCs/>
                  <w:szCs w:val="24"/>
                  <w:lang w:val="zh-CN"/>
                </w:rPr>
                <w:fldChar w:fldCharType="begin"/>
              </w:r>
              <w:r>
                <w:rPr>
                  <w:bCs/>
                  <w:szCs w:val="24"/>
                  <w:lang w:val="zh-CN"/>
                </w:rPr>
                <w:instrText xml:space="preserve"> HYPERLINK \l _Toc23792 </w:instrText>
              </w:r>
              <w:r>
                <w:rPr>
                  <w:bCs/>
                  <w:szCs w:val="24"/>
                  <w:lang w:val="zh-CN"/>
                </w:rPr>
                <w:fldChar w:fldCharType="separate"/>
              </w:r>
              <w:r>
                <w:rPr>
                  <w:rFonts w:hint="eastAsia" w:ascii="仿宋_GB2312" w:eastAsia="仿宋_GB2312"/>
                  <w:szCs w:val="32"/>
                </w:rPr>
                <w:t>附件2：</w:t>
              </w:r>
              <w:r>
                <w:rPr>
                  <w:rFonts w:hint="eastAsia"/>
                  <w:szCs w:val="28"/>
                </w:rPr>
                <w:t>2019届本科毕业生分专业就业情况统计表</w:t>
              </w:r>
              <w:r>
                <w:tab/>
              </w:r>
              <w:r>
                <w:fldChar w:fldCharType="begin"/>
              </w:r>
              <w:r>
                <w:instrText xml:space="preserve"> PAGEREF _Toc23792 </w:instrText>
              </w:r>
              <w:r>
                <w:fldChar w:fldCharType="separate"/>
              </w:r>
              <w:r>
                <w:t>21</w:t>
              </w:r>
              <w:r>
                <w:fldChar w:fldCharType="end"/>
              </w:r>
              <w:r>
                <w:rPr>
                  <w:bCs/>
                  <w:szCs w:val="24"/>
                  <w:lang w:val="zh-CN"/>
                </w:rPr>
                <w:fldChar w:fldCharType="end"/>
              </w:r>
            </w:p>
            <w:p>
              <w:pPr>
                <w:rPr>
                  <w:rFonts w:ascii="仿宋_GB2312" w:hAnsi="仿宋" w:eastAsia="仿宋_GB2312"/>
                  <w:sz w:val="32"/>
                  <w:szCs w:val="32"/>
                </w:rPr>
                <w:sectPr>
                  <w:footerReference r:id="rId4" w:type="default"/>
                  <w:pgSz w:w="11906" w:h="16838"/>
                  <w:pgMar w:top="1440" w:right="1800" w:bottom="1134" w:left="1800" w:header="851" w:footer="539" w:gutter="0"/>
                  <w:pgNumType w:start="1"/>
                  <w:cols w:space="720" w:num="1"/>
                  <w:docGrid w:type="lines" w:linePitch="312" w:charSpace="0"/>
                </w:sectPr>
              </w:pPr>
              <w:r>
                <w:rPr>
                  <w:bCs/>
                  <w:szCs w:val="24"/>
                  <w:lang w:val="zh-CN"/>
                </w:rPr>
                <w:fldChar w:fldCharType="end"/>
              </w:r>
            </w:p>
          </w:sdtContent>
        </w:sdt>
      </w:sdtContent>
    </w:sdt>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根据教育部《关于做好2019届全国普通高等学校毕业生就业创业工作的通知》（教学〔2018〕8 号）和《教育部办公厅关于编制发布高校毕业生就业质量年度报告的通知》（教学厅函〔2013〕25 号）通知要求，我校组织编制了《河南工业大学2019年毕业生就业质量年度报告》，以全面系统反映我校毕业生就业状况和社会评价情况，及时回应社会关切、接受社会监督，进一步完善我校毕业生就业状况反馈机制，建立健全学生就业工作体系。</w:t>
      </w:r>
    </w:p>
    <w:p>
      <w:pPr>
        <w:outlineLvl w:val="0"/>
        <w:rPr>
          <w:rFonts w:ascii="黑体" w:hAnsi="黑体" w:eastAsia="黑体"/>
          <w:b/>
          <w:sz w:val="32"/>
          <w:szCs w:val="32"/>
        </w:rPr>
      </w:pPr>
      <w:bookmarkStart w:id="0" w:name="_Toc8973"/>
      <w:bookmarkStart w:id="1" w:name="_Toc32598"/>
      <w:bookmarkStart w:id="2" w:name="_Toc4773"/>
      <w:bookmarkStart w:id="3" w:name="_Toc5403"/>
      <w:bookmarkStart w:id="4" w:name="_Toc13799"/>
      <w:bookmarkStart w:id="5" w:name="_Toc26409"/>
      <w:r>
        <w:rPr>
          <w:rFonts w:hint="eastAsia" w:ascii="黑体" w:hAnsi="黑体" w:eastAsia="黑体"/>
          <w:b/>
          <w:sz w:val="32"/>
          <w:szCs w:val="32"/>
        </w:rPr>
        <w:t>一、学校概况</w:t>
      </w:r>
      <w:bookmarkEnd w:id="0"/>
      <w:bookmarkEnd w:id="1"/>
      <w:bookmarkEnd w:id="2"/>
      <w:bookmarkEnd w:id="3"/>
      <w:bookmarkEnd w:id="4"/>
      <w:bookmarkEnd w:id="5"/>
    </w:p>
    <w:p>
      <w:pPr>
        <w:ind w:firstLine="563" w:firstLineChars="176"/>
        <w:rPr>
          <w:rFonts w:ascii="仿宋_GB2312" w:hAnsi="仿宋" w:eastAsia="仿宋_GB2312"/>
          <w:sz w:val="32"/>
          <w:szCs w:val="32"/>
        </w:rPr>
      </w:pPr>
      <w:r>
        <w:rPr>
          <w:rFonts w:hint="eastAsia" w:ascii="仿宋_GB2312" w:hAnsi="仿宋" w:eastAsia="仿宋_GB2312"/>
          <w:sz w:val="32"/>
          <w:szCs w:val="32"/>
        </w:rPr>
        <w:t>河南工业大学（Henan University of Technology）位于河南省会郑州市，是河南省人民政府和国家粮食局共建高校；始建于1956年，先后隶属国家粮食部、商业部和国内贸易部；1959 年开展本科教育，1981 年开始硕士研究生教育，2013年开始博士研究生教育，2017年获批硕士研究生推免资格，2018年获批博士学位授予单位；1998 年划归河南省管理，河南省人民政府和国家粮食局于2010年签约共建河南工业大学。</w:t>
      </w:r>
    </w:p>
    <w:p>
      <w:pPr>
        <w:ind w:firstLine="563" w:firstLineChars="176"/>
        <w:rPr>
          <w:rFonts w:ascii="仿宋_GB2312" w:hAnsi="仿宋" w:eastAsia="仿宋_GB2312"/>
          <w:sz w:val="32"/>
          <w:szCs w:val="32"/>
        </w:rPr>
      </w:pPr>
      <w:r>
        <w:rPr>
          <w:rFonts w:hint="eastAsia" w:ascii="仿宋_GB2312" w:hAnsi="仿宋" w:eastAsia="仿宋_GB2312"/>
          <w:sz w:val="32"/>
          <w:szCs w:val="32"/>
        </w:rPr>
        <w:t>建校至今，学校坚持“扎根中原，立足行业，服务全国，面向世界”的办学定位，严守“育人为本、质量立校、特色发展”的办学理念，秉承“明德、求是、拓新、笃行”的校训，大力弘扬“崇尚科学、勇于探索、报国兴学、自强不息”的工大精神，凝练形成了“团结进取，务实高效”的校风、“博学奉献”的教风和“勤奋诚信”的学风。</w:t>
      </w:r>
    </w:p>
    <w:p>
      <w:pPr>
        <w:ind w:firstLine="563" w:firstLineChars="176"/>
        <w:rPr>
          <w:rFonts w:ascii="仿宋_GB2312" w:hAnsi="仿宋" w:eastAsia="仿宋_GB2312"/>
          <w:sz w:val="32"/>
          <w:szCs w:val="32"/>
        </w:rPr>
      </w:pPr>
      <w:r>
        <w:rPr>
          <w:rFonts w:hint="eastAsia" w:ascii="仿宋_GB2312" w:hAnsi="仿宋" w:eastAsia="仿宋_GB2312"/>
          <w:sz w:val="32"/>
          <w:szCs w:val="32"/>
        </w:rPr>
        <w:t>经过历代工大人的励精图治和薪火传承，学校已经发展成为一所以工学为主，涵盖理学、经济学、管理学、法学、文学、艺术学和农学等学科协调发展的多科性大学，不仅具备完整的学士、硕士、博士三级人才培养体系，而且作为第二单位成功入选国家首批“ 2011 协同创新计划”，是教育部“中西部高校基础能力建设工程”和“卓越工程师教育培养计划”建设高校，在推动行业、区域和国家经济社会发展，实现教育振兴的过程中做出了应有贡献，在人才培养、科学研究、社会服务等方面均取得了优异成绩。</w:t>
      </w:r>
    </w:p>
    <w:p>
      <w:pPr>
        <w:ind w:firstLine="563" w:firstLineChars="176"/>
        <w:rPr>
          <w:rFonts w:ascii="仿宋_GB2312" w:hAnsi="仿宋" w:eastAsia="仿宋_GB2312"/>
          <w:sz w:val="32"/>
          <w:szCs w:val="32"/>
        </w:rPr>
      </w:pPr>
      <w:r>
        <w:rPr>
          <w:rFonts w:hint="eastAsia" w:ascii="仿宋_GB2312" w:hAnsi="仿宋" w:eastAsia="仿宋_GB2312"/>
          <w:sz w:val="32"/>
          <w:szCs w:val="32"/>
        </w:rPr>
        <w:t>学校长期致力于粮食产后领域的基础理论及工程技术研究，构建了集储运、加工、装备、信息、管理等于一体的完整学科体系；拥有全国最完整的粮油食品学科群和实力雄厚的超硬材料学科群；现有20 个学院， 67个本科专业，拥有3个博士学位授权一级学科，20 个硕士学位授权一级学科，7个硕士专业学位授权类别，24个省一级重点学科，“粮食产后安全及加工”学科群入选河南省首批优势特色学科建设工程；“食品科学与工程”等5个国家级特色专业、“粮食工程”等3个国家级综合改革试点专业、“食品科学与工程、粮食工程”和“计算机科学与技术”3个国家级卓越计划专业、16个省级名牌和特色专业、6 个双学位专业，学校具有同等学力申请硕士学位授予权和高校教师硕士学位授予权。</w:t>
      </w:r>
    </w:p>
    <w:p>
      <w:pPr>
        <w:ind w:firstLine="563" w:firstLineChars="176"/>
        <w:rPr>
          <w:rFonts w:ascii="仿宋_GB2312" w:hAnsi="仿宋" w:eastAsia="仿宋_GB2312"/>
          <w:sz w:val="32"/>
          <w:szCs w:val="32"/>
        </w:rPr>
      </w:pPr>
      <w:r>
        <w:rPr>
          <w:rFonts w:hint="eastAsia" w:ascii="仿宋_GB2312" w:hAnsi="仿宋" w:eastAsia="仿宋_GB2312"/>
          <w:sz w:val="32"/>
          <w:szCs w:val="32"/>
        </w:rPr>
        <w:t>学校面向全国招生；是国家来华留学生自主招生高校，拥有“中国政府奖学金”、“中国政府丝绸之路奖学金”和“河南省政府奖学金”培养资格；是全国硕士研究生推免高校、普通高等学校本科教学工作水平评估优秀单位；拥有“食品科学”国家级实验教学示范中心、国家级“粮油食品类工程应用型人才培养模式创新实验区”、“河南工业大学-河南中鹤纯净粉业有限公司工程实践教育中心”国家级大学生校外实践教育基地。</w:t>
      </w:r>
    </w:p>
    <w:p>
      <w:pPr>
        <w:ind w:firstLine="563" w:firstLineChars="176"/>
        <w:rPr>
          <w:rFonts w:ascii="仿宋_GB2312" w:hAnsi="仿宋" w:eastAsia="仿宋_GB2312"/>
          <w:sz w:val="32"/>
          <w:szCs w:val="32"/>
        </w:rPr>
      </w:pPr>
      <w:r>
        <w:rPr>
          <w:rFonts w:hint="eastAsia" w:ascii="仿宋_GB2312" w:hAnsi="仿宋" w:eastAsia="仿宋_GB2312"/>
          <w:sz w:val="32"/>
          <w:szCs w:val="32"/>
        </w:rPr>
        <w:t>现有全日制在校生34000余人，其中研究生1500余人，外国留学生300余人；另有继续教育学生18000 余人；先后为国家输送了近20万名合格毕业生，粮食行业半数以上的管理精英和技术骨干均出自本校，被誉为粮食行业的“黄埔军校”。</w:t>
      </w:r>
    </w:p>
    <w:p>
      <w:pPr>
        <w:ind w:firstLine="563" w:firstLineChars="176"/>
        <w:rPr>
          <w:rFonts w:ascii="黑体" w:hAnsi="黑体" w:eastAsia="黑体"/>
          <w:b/>
          <w:sz w:val="32"/>
          <w:szCs w:val="32"/>
        </w:rPr>
      </w:pPr>
      <w:r>
        <w:rPr>
          <w:rFonts w:hint="eastAsia" w:ascii="仿宋_GB2312" w:hAnsi="仿宋" w:eastAsia="仿宋_GB2312"/>
          <w:sz w:val="32"/>
          <w:szCs w:val="32"/>
        </w:rPr>
        <w:t>近五年，学生在各类竞赛中获国家级奖340项、省部级奖772项；全国硕士学位论文抽检合格率连年100%；国家“挑战杯”竞赛连续5届居全国前40名，连年位居河南省高校前列；连续两次被教育部评为“全国普通高等学校毕业生就业工作先进集体”，先后荣获“全国就业50强高校”、全国“学校心理健康教育先进集体”等多项荣誉称号，人才培养质量获得社会高度认可和评价。</w:t>
      </w:r>
      <w:bookmarkStart w:id="6" w:name="_Toc468964399"/>
      <w:r>
        <w:rPr>
          <w:rFonts w:hint="eastAsia" w:ascii="黑体" w:hAnsi="黑体" w:eastAsia="黑体"/>
          <w:b/>
          <w:sz w:val="32"/>
          <w:szCs w:val="32"/>
        </w:rPr>
        <w:br w:type="page"/>
      </w:r>
    </w:p>
    <w:p>
      <w:pPr>
        <w:outlineLvl w:val="0"/>
        <w:rPr>
          <w:rFonts w:ascii="黑体" w:hAnsi="黑体" w:eastAsia="黑体"/>
          <w:b/>
          <w:sz w:val="32"/>
          <w:szCs w:val="32"/>
        </w:rPr>
      </w:pPr>
      <w:bookmarkStart w:id="7" w:name="_Toc17969"/>
      <w:bookmarkStart w:id="8" w:name="_Toc7885"/>
      <w:bookmarkStart w:id="9" w:name="_Toc31681"/>
      <w:bookmarkStart w:id="10" w:name="_Toc6817"/>
      <w:bookmarkStart w:id="11" w:name="_Toc4872"/>
      <w:bookmarkStart w:id="12" w:name="_Toc13132"/>
      <w:r>
        <w:rPr>
          <w:rFonts w:hint="eastAsia" w:ascii="黑体" w:hAnsi="黑体" w:eastAsia="黑体"/>
          <w:b/>
          <w:sz w:val="32"/>
          <w:szCs w:val="32"/>
        </w:rPr>
        <w:t>二、毕业生基本情况</w:t>
      </w:r>
      <w:bookmarkEnd w:id="6"/>
      <w:bookmarkEnd w:id="7"/>
      <w:bookmarkEnd w:id="8"/>
      <w:bookmarkEnd w:id="9"/>
      <w:bookmarkEnd w:id="10"/>
      <w:bookmarkEnd w:id="11"/>
      <w:bookmarkEnd w:id="12"/>
    </w:p>
    <w:p>
      <w:pPr>
        <w:ind w:firstLine="566" w:firstLineChars="177"/>
        <w:outlineLvl w:val="1"/>
        <w:rPr>
          <w:rFonts w:ascii="仿宋_GB2312" w:hAnsi="仿宋" w:eastAsia="仿宋_GB2312"/>
          <w:sz w:val="30"/>
          <w:szCs w:val="30"/>
        </w:rPr>
      </w:pPr>
      <w:bookmarkStart w:id="13" w:name="_Toc1403"/>
      <w:bookmarkStart w:id="14" w:name="_Toc4765"/>
      <w:bookmarkStart w:id="15" w:name="_Toc22434"/>
      <w:bookmarkStart w:id="16" w:name="_Toc21513"/>
      <w:bookmarkStart w:id="17" w:name="_Toc22943"/>
      <w:bookmarkStart w:id="18" w:name="_Toc468964400"/>
      <w:bookmarkStart w:id="19" w:name="_Toc14"/>
      <w:r>
        <w:rPr>
          <w:rFonts w:hint="eastAsia" w:ascii="仿宋_GB2312" w:hAnsi="仿宋" w:eastAsia="仿宋_GB2312"/>
          <w:sz w:val="32"/>
          <w:szCs w:val="32"/>
        </w:rPr>
        <w:t>（一）毕业生规模</w:t>
      </w:r>
      <w:bookmarkEnd w:id="13"/>
      <w:bookmarkEnd w:id="14"/>
      <w:bookmarkEnd w:id="15"/>
      <w:bookmarkEnd w:id="16"/>
      <w:bookmarkEnd w:id="17"/>
      <w:bookmarkEnd w:id="18"/>
      <w:bookmarkEnd w:id="19"/>
    </w:p>
    <w:p>
      <w:pPr>
        <w:rPr>
          <w:rFonts w:ascii="仿宋_GB2312" w:hAnsi="仿宋" w:eastAsia="仿宋_GB2312"/>
          <w:sz w:val="32"/>
          <w:szCs w:val="32"/>
        </w:rPr>
      </w:pPr>
      <w:r>
        <w:rPr>
          <w:rFonts w:hint="eastAsia" w:ascii="仿宋_GB2312" w:hAnsi="仿宋" w:eastAsia="仿宋_GB2312"/>
          <w:sz w:val="32"/>
          <w:szCs w:val="32"/>
        </w:rPr>
        <w:t xml:space="preserve">    2019届毕业生共有8836人。</w:t>
      </w:r>
    </w:p>
    <w:p>
      <w:pPr>
        <w:ind w:firstLine="566" w:firstLineChars="177"/>
        <w:outlineLvl w:val="1"/>
        <w:rPr>
          <w:rFonts w:ascii="仿宋_GB2312" w:hAnsi="仿宋" w:eastAsia="仿宋_GB2312"/>
          <w:sz w:val="32"/>
          <w:szCs w:val="32"/>
        </w:rPr>
      </w:pPr>
      <w:bookmarkStart w:id="20" w:name="_Toc2847"/>
      <w:bookmarkStart w:id="21" w:name="_Toc3897"/>
      <w:bookmarkStart w:id="22" w:name="_Toc24533"/>
      <w:bookmarkStart w:id="23" w:name="_Toc468964401"/>
      <w:bookmarkStart w:id="24" w:name="_Toc13350"/>
      <w:bookmarkStart w:id="25" w:name="_Toc5136"/>
      <w:bookmarkStart w:id="26" w:name="_Toc29657"/>
      <w:r>
        <w:rPr>
          <w:rFonts w:hint="eastAsia" w:ascii="仿宋_GB2312" w:hAnsi="仿宋" w:eastAsia="仿宋_GB2312"/>
          <w:sz w:val="32"/>
          <w:szCs w:val="32"/>
        </w:rPr>
        <w:t>（二）毕业生结构</w:t>
      </w:r>
      <w:bookmarkEnd w:id="20"/>
      <w:bookmarkEnd w:id="21"/>
      <w:bookmarkEnd w:id="22"/>
      <w:bookmarkEnd w:id="23"/>
      <w:bookmarkEnd w:id="24"/>
      <w:bookmarkEnd w:id="25"/>
      <w:bookmarkEnd w:id="26"/>
    </w:p>
    <w:p>
      <w:pPr>
        <w:numPr>
          <w:ilvl w:val="0"/>
          <w:numId w:val="1"/>
        </w:numPr>
        <w:ind w:firstLine="640" w:firstLineChars="200"/>
        <w:outlineLvl w:val="2"/>
        <w:rPr>
          <w:rFonts w:ascii="仿宋_GB2312" w:hAnsi="仿宋" w:eastAsia="仿宋_GB2312"/>
          <w:sz w:val="32"/>
          <w:szCs w:val="32"/>
        </w:rPr>
      </w:pPr>
      <w:bookmarkStart w:id="27" w:name="_Toc29860"/>
      <w:r>
        <w:rPr>
          <w:rFonts w:hint="eastAsia" w:ascii="仿宋_GB2312" w:hAnsi="仿宋" w:eastAsia="仿宋_GB2312"/>
          <w:sz w:val="32"/>
          <w:szCs w:val="32"/>
        </w:rPr>
        <w:t>学历结构</w:t>
      </w:r>
      <w:bookmarkEnd w:id="27"/>
    </w:p>
    <w:tbl>
      <w:tblPr>
        <w:tblStyle w:val="19"/>
        <w:tblW w:w="8215" w:type="dxa"/>
        <w:tblInd w:w="0" w:type="dxa"/>
        <w:tblLayout w:type="fixed"/>
        <w:tblCellMar>
          <w:top w:w="15" w:type="dxa"/>
          <w:left w:w="15" w:type="dxa"/>
          <w:bottom w:w="15" w:type="dxa"/>
          <w:right w:w="15" w:type="dxa"/>
        </w:tblCellMar>
      </w:tblPr>
      <w:tblGrid>
        <w:gridCol w:w="2665"/>
        <w:gridCol w:w="3150"/>
        <w:gridCol w:w="2400"/>
      </w:tblGrid>
      <w:tr>
        <w:tblPrEx>
          <w:tblCellMar>
            <w:top w:w="15" w:type="dxa"/>
            <w:left w:w="15" w:type="dxa"/>
            <w:bottom w:w="15" w:type="dxa"/>
            <w:right w:w="15" w:type="dxa"/>
          </w:tblCellMar>
        </w:tblPrEx>
        <w:trPr>
          <w:trHeight w:val="285" w:hRule="atLeast"/>
        </w:trPr>
        <w:tc>
          <w:tcPr>
            <w:tcW w:w="2665" w:type="dxa"/>
            <w:tcBorders>
              <w:top w:val="single" w:color="FFFFFF" w:sz="8" w:space="0"/>
              <w:left w:val="single" w:color="FFFFFF" w:sz="8" w:space="0"/>
              <w:bottom w:val="single" w:color="FFFFFF" w:sz="18" w:space="0"/>
              <w:right w:val="single" w:color="FFFFFF" w:sz="8" w:space="0"/>
            </w:tcBorders>
            <w:shd w:val="clear" w:color="auto" w:fill="C0504D"/>
            <w:vAlign w:val="center"/>
          </w:tcPr>
          <w:p>
            <w:pPr>
              <w:widowControl/>
              <w:jc w:val="center"/>
              <w:textAlignment w:val="center"/>
              <w:rPr>
                <w:rFonts w:ascii="仿宋" w:hAnsi="仿宋" w:eastAsia="仿宋" w:cs="仿宋"/>
                <w:color w:val="FFFFFF"/>
                <w:sz w:val="28"/>
                <w:szCs w:val="28"/>
              </w:rPr>
            </w:pPr>
            <w:r>
              <w:rPr>
                <w:rFonts w:hint="eastAsia" w:ascii="仿宋" w:hAnsi="仿宋" w:eastAsia="仿宋" w:cs="仿宋"/>
                <w:color w:val="FFFFFF"/>
                <w:kern w:val="0"/>
                <w:sz w:val="28"/>
                <w:szCs w:val="28"/>
              </w:rPr>
              <w:t>学历</w:t>
            </w:r>
          </w:p>
        </w:tc>
        <w:tc>
          <w:tcPr>
            <w:tcW w:w="3150" w:type="dxa"/>
            <w:tcBorders>
              <w:top w:val="single" w:color="FFFFFF" w:sz="8" w:space="0"/>
              <w:left w:val="single" w:color="FFFFFF" w:sz="8" w:space="0"/>
              <w:bottom w:val="single" w:color="FFFFFF" w:sz="18" w:space="0"/>
              <w:right w:val="single" w:color="FFFFFF" w:sz="8" w:space="0"/>
            </w:tcBorders>
            <w:shd w:val="clear" w:color="auto" w:fill="C0504D"/>
            <w:vAlign w:val="center"/>
          </w:tcPr>
          <w:p>
            <w:pPr>
              <w:widowControl/>
              <w:jc w:val="center"/>
              <w:textAlignment w:val="center"/>
              <w:rPr>
                <w:rFonts w:ascii="仿宋" w:hAnsi="仿宋" w:eastAsia="仿宋" w:cs="仿宋"/>
                <w:color w:val="FFFFFF"/>
                <w:sz w:val="28"/>
                <w:szCs w:val="28"/>
              </w:rPr>
            </w:pPr>
            <w:r>
              <w:rPr>
                <w:rFonts w:hint="eastAsia" w:ascii="仿宋" w:hAnsi="仿宋" w:eastAsia="仿宋" w:cs="仿宋"/>
                <w:color w:val="FFFFFF"/>
                <w:kern w:val="0"/>
                <w:sz w:val="28"/>
                <w:szCs w:val="28"/>
              </w:rPr>
              <w:t>毕业生数</w:t>
            </w:r>
          </w:p>
        </w:tc>
        <w:tc>
          <w:tcPr>
            <w:tcW w:w="2400" w:type="dxa"/>
            <w:tcBorders>
              <w:top w:val="single" w:color="FFFFFF" w:sz="8" w:space="0"/>
              <w:left w:val="single" w:color="FFFFFF" w:sz="8" w:space="0"/>
              <w:bottom w:val="single" w:color="FFFFFF" w:sz="18" w:space="0"/>
              <w:right w:val="single" w:color="FFFFFF" w:sz="8" w:space="0"/>
            </w:tcBorders>
            <w:shd w:val="clear" w:color="auto" w:fill="C0504D"/>
            <w:vAlign w:val="center"/>
          </w:tcPr>
          <w:p>
            <w:pPr>
              <w:widowControl/>
              <w:jc w:val="center"/>
              <w:textAlignment w:val="center"/>
              <w:rPr>
                <w:rFonts w:ascii="仿宋" w:hAnsi="仿宋" w:eastAsia="仿宋" w:cs="仿宋"/>
                <w:color w:val="FFFFFF"/>
                <w:sz w:val="28"/>
                <w:szCs w:val="28"/>
              </w:rPr>
            </w:pPr>
            <w:r>
              <w:rPr>
                <w:rFonts w:hint="eastAsia" w:ascii="仿宋" w:hAnsi="仿宋" w:eastAsia="仿宋" w:cs="仿宋"/>
                <w:color w:val="FFFFFF"/>
                <w:kern w:val="0"/>
                <w:sz w:val="28"/>
                <w:szCs w:val="28"/>
              </w:rPr>
              <w:t>比例</w:t>
            </w:r>
          </w:p>
        </w:tc>
      </w:tr>
      <w:tr>
        <w:tblPrEx>
          <w:tblCellMar>
            <w:top w:w="15" w:type="dxa"/>
            <w:left w:w="15" w:type="dxa"/>
            <w:bottom w:w="15" w:type="dxa"/>
            <w:right w:w="15" w:type="dxa"/>
          </w:tblCellMar>
        </w:tblPrEx>
        <w:trPr>
          <w:trHeight w:val="285" w:hRule="atLeast"/>
        </w:trPr>
        <w:tc>
          <w:tcPr>
            <w:tcW w:w="2665" w:type="dxa"/>
            <w:tcBorders>
              <w:top w:val="single" w:color="FFFFFF" w:sz="1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博士生毕业</w:t>
            </w:r>
          </w:p>
        </w:tc>
        <w:tc>
          <w:tcPr>
            <w:tcW w:w="3150" w:type="dxa"/>
            <w:tcBorders>
              <w:top w:val="single" w:color="FFFFFF" w:sz="1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w:t>
            </w:r>
          </w:p>
        </w:tc>
        <w:tc>
          <w:tcPr>
            <w:tcW w:w="2400" w:type="dxa"/>
            <w:tcBorders>
              <w:top w:val="single" w:color="FFFFFF" w:sz="1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0.01%</w:t>
            </w:r>
          </w:p>
        </w:tc>
      </w:tr>
      <w:tr>
        <w:tblPrEx>
          <w:tblCellMar>
            <w:top w:w="15" w:type="dxa"/>
            <w:left w:w="15" w:type="dxa"/>
            <w:bottom w:w="15" w:type="dxa"/>
            <w:right w:w="15" w:type="dxa"/>
          </w:tblCellMar>
        </w:tblPrEx>
        <w:trPr>
          <w:trHeight w:val="375" w:hRule="atLeast"/>
        </w:trPr>
        <w:tc>
          <w:tcPr>
            <w:tcW w:w="2665" w:type="dxa"/>
            <w:tcBorders>
              <w:top w:val="single" w:color="FFFFFF" w:sz="8" w:space="0"/>
              <w:left w:val="single" w:color="FFFFFF" w:sz="8" w:space="0"/>
              <w:bottom w:val="single" w:color="FFFFFF" w:sz="8" w:space="0"/>
              <w:right w:val="single" w:color="FFFFFF" w:sz="8" w:space="0"/>
            </w:tcBorders>
            <w:shd w:val="clear" w:color="auto" w:fill="F4E9E9"/>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硕士生毕业</w:t>
            </w:r>
          </w:p>
        </w:tc>
        <w:tc>
          <w:tcPr>
            <w:tcW w:w="3150" w:type="dxa"/>
            <w:tcBorders>
              <w:top w:val="single" w:color="FFFFFF" w:sz="8" w:space="0"/>
              <w:left w:val="single" w:color="FFFFFF" w:sz="8" w:space="0"/>
              <w:bottom w:val="single" w:color="FFFFFF" w:sz="8" w:space="0"/>
              <w:right w:val="single" w:color="FFFFFF" w:sz="8" w:space="0"/>
            </w:tcBorders>
            <w:shd w:val="clear" w:color="auto" w:fill="F4E9E9"/>
            <w:vAlign w:val="center"/>
          </w:tcPr>
          <w:p>
            <w:pPr>
              <w:widowControl/>
              <w:jc w:val="center"/>
              <w:textAlignment w:val="center"/>
              <w:rPr>
                <w:rFonts w:ascii="仿宋" w:hAnsi="仿宋" w:eastAsia="仿宋" w:cs="仿宋"/>
                <w:color w:val="000000"/>
                <w:kern w:val="0"/>
                <w:sz w:val="28"/>
                <w:szCs w:val="28"/>
              </w:rPr>
            </w:pPr>
            <w:r>
              <w:rPr>
                <w:rFonts w:ascii="仿宋" w:hAnsi="仿宋" w:eastAsia="仿宋" w:cs="仿宋"/>
                <w:color w:val="000000"/>
                <w:kern w:val="0"/>
                <w:sz w:val="28"/>
                <w:szCs w:val="28"/>
              </w:rPr>
              <w:t>43</w:t>
            </w:r>
            <w:r>
              <w:rPr>
                <w:rFonts w:hint="eastAsia" w:ascii="仿宋" w:hAnsi="仿宋" w:eastAsia="仿宋" w:cs="仿宋"/>
                <w:color w:val="000000"/>
                <w:kern w:val="0"/>
                <w:sz w:val="28"/>
                <w:szCs w:val="28"/>
              </w:rPr>
              <w:t>0</w:t>
            </w:r>
          </w:p>
        </w:tc>
        <w:tc>
          <w:tcPr>
            <w:tcW w:w="2400" w:type="dxa"/>
            <w:tcBorders>
              <w:top w:val="single" w:color="FFFFFF" w:sz="8" w:space="0"/>
              <w:left w:val="single" w:color="FFFFFF" w:sz="8" w:space="0"/>
              <w:bottom w:val="single" w:color="FFFFFF" w:sz="8" w:space="0"/>
              <w:right w:val="single" w:color="FFFFFF" w:sz="8" w:space="0"/>
            </w:tcBorders>
            <w:shd w:val="clear" w:color="auto" w:fill="F4E9E9"/>
            <w:vAlign w:val="center"/>
          </w:tcPr>
          <w:p>
            <w:pPr>
              <w:widowControl/>
              <w:jc w:val="center"/>
              <w:textAlignment w:val="center"/>
              <w:rPr>
                <w:rFonts w:eastAsia="仿宋"/>
                <w:bCs/>
                <w:color w:val="000000"/>
                <w:kern w:val="0"/>
                <w:sz w:val="28"/>
                <w:szCs w:val="28"/>
              </w:rPr>
            </w:pPr>
            <w:r>
              <w:rPr>
                <w:rFonts w:hint="eastAsia" w:ascii="仿宋" w:hAnsi="仿宋" w:eastAsia="仿宋" w:cs="仿宋"/>
                <w:color w:val="000000"/>
                <w:kern w:val="0"/>
                <w:sz w:val="28"/>
                <w:szCs w:val="28"/>
                <w:lang w:bidi="ar"/>
              </w:rPr>
              <w:t>4.87%</w:t>
            </w:r>
          </w:p>
        </w:tc>
      </w:tr>
      <w:tr>
        <w:tblPrEx>
          <w:tblCellMar>
            <w:top w:w="15" w:type="dxa"/>
            <w:left w:w="15" w:type="dxa"/>
            <w:bottom w:w="15" w:type="dxa"/>
            <w:right w:w="15" w:type="dxa"/>
          </w:tblCellMar>
        </w:tblPrEx>
        <w:trPr>
          <w:trHeight w:val="375" w:hRule="atLeast"/>
        </w:trPr>
        <w:tc>
          <w:tcPr>
            <w:tcW w:w="2665" w:type="dxa"/>
            <w:tcBorders>
              <w:top w:val="single" w:color="FFFFFF" w:sz="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本科生毕业</w:t>
            </w:r>
          </w:p>
        </w:tc>
        <w:tc>
          <w:tcPr>
            <w:tcW w:w="3150" w:type="dxa"/>
            <w:tcBorders>
              <w:top w:val="single" w:color="FFFFFF" w:sz="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ascii="仿宋" w:hAnsi="仿宋" w:eastAsia="仿宋" w:cs="仿宋"/>
                <w:color w:val="000000"/>
                <w:kern w:val="0"/>
                <w:sz w:val="28"/>
                <w:szCs w:val="28"/>
              </w:rPr>
            </w:pPr>
            <w:r>
              <w:rPr>
                <w:rFonts w:ascii="仿宋" w:hAnsi="仿宋" w:eastAsia="仿宋" w:cs="仿宋"/>
                <w:color w:val="000000"/>
                <w:kern w:val="0"/>
                <w:sz w:val="28"/>
                <w:szCs w:val="28"/>
              </w:rPr>
              <w:t>6</w:t>
            </w:r>
            <w:r>
              <w:rPr>
                <w:rFonts w:hint="eastAsia" w:ascii="仿宋" w:hAnsi="仿宋" w:eastAsia="仿宋" w:cs="仿宋"/>
                <w:color w:val="000000"/>
                <w:kern w:val="0"/>
                <w:sz w:val="28"/>
                <w:szCs w:val="28"/>
              </w:rPr>
              <w:t>905</w:t>
            </w:r>
          </w:p>
        </w:tc>
        <w:tc>
          <w:tcPr>
            <w:tcW w:w="2400" w:type="dxa"/>
            <w:tcBorders>
              <w:top w:val="single" w:color="FFFFFF" w:sz="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eastAsia="仿宋"/>
                <w:bCs/>
                <w:color w:val="000000"/>
                <w:kern w:val="0"/>
                <w:sz w:val="28"/>
                <w:szCs w:val="28"/>
              </w:rPr>
            </w:pPr>
            <w:r>
              <w:rPr>
                <w:rFonts w:hint="eastAsia" w:ascii="仿宋" w:hAnsi="仿宋" w:eastAsia="仿宋" w:cs="仿宋"/>
                <w:color w:val="000000"/>
                <w:kern w:val="0"/>
                <w:sz w:val="28"/>
                <w:szCs w:val="28"/>
                <w:lang w:bidi="ar"/>
              </w:rPr>
              <w:t>78.15%</w:t>
            </w:r>
          </w:p>
        </w:tc>
      </w:tr>
      <w:tr>
        <w:tblPrEx>
          <w:tblCellMar>
            <w:top w:w="15" w:type="dxa"/>
            <w:left w:w="15" w:type="dxa"/>
            <w:bottom w:w="15" w:type="dxa"/>
            <w:right w:w="15" w:type="dxa"/>
          </w:tblCellMar>
        </w:tblPrEx>
        <w:trPr>
          <w:trHeight w:val="375" w:hRule="atLeast"/>
        </w:trPr>
        <w:tc>
          <w:tcPr>
            <w:tcW w:w="2665" w:type="dxa"/>
            <w:tcBorders>
              <w:top w:val="single" w:color="FFFFFF" w:sz="8" w:space="0"/>
              <w:left w:val="single" w:color="FFFFFF" w:sz="8" w:space="0"/>
              <w:bottom w:val="single" w:color="FFFFFF" w:sz="8" w:space="0"/>
              <w:right w:val="single" w:color="FFFFFF" w:sz="8" w:space="0"/>
            </w:tcBorders>
            <w:shd w:val="clear" w:color="auto" w:fill="F4E9E9"/>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专科生毕业</w:t>
            </w:r>
          </w:p>
        </w:tc>
        <w:tc>
          <w:tcPr>
            <w:tcW w:w="3150" w:type="dxa"/>
            <w:tcBorders>
              <w:top w:val="single" w:color="FFFFFF" w:sz="8" w:space="0"/>
              <w:left w:val="single" w:color="FFFFFF" w:sz="8" w:space="0"/>
              <w:bottom w:val="single" w:color="FFFFFF" w:sz="8" w:space="0"/>
              <w:right w:val="single" w:color="FFFFFF" w:sz="8" w:space="0"/>
            </w:tcBorders>
            <w:shd w:val="clear" w:color="auto" w:fill="F4E9E9"/>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1500</w:t>
            </w:r>
          </w:p>
        </w:tc>
        <w:tc>
          <w:tcPr>
            <w:tcW w:w="2400" w:type="dxa"/>
            <w:tcBorders>
              <w:top w:val="single" w:color="FFFFFF" w:sz="8" w:space="0"/>
              <w:left w:val="single" w:color="FFFFFF" w:sz="8" w:space="0"/>
              <w:bottom w:val="single" w:color="FFFFFF" w:sz="8" w:space="0"/>
              <w:right w:val="single" w:color="FFFFFF" w:sz="8" w:space="0"/>
            </w:tcBorders>
            <w:shd w:val="clear" w:color="auto" w:fill="F4E9E9"/>
            <w:vAlign w:val="center"/>
          </w:tcPr>
          <w:p>
            <w:pPr>
              <w:widowControl/>
              <w:jc w:val="center"/>
              <w:textAlignment w:val="center"/>
              <w:rPr>
                <w:rFonts w:eastAsia="仿宋"/>
                <w:bCs/>
                <w:color w:val="000000"/>
                <w:kern w:val="0"/>
                <w:sz w:val="28"/>
                <w:szCs w:val="28"/>
              </w:rPr>
            </w:pPr>
            <w:r>
              <w:rPr>
                <w:rFonts w:hint="eastAsia" w:ascii="仿宋" w:hAnsi="仿宋" w:eastAsia="仿宋" w:cs="仿宋"/>
                <w:color w:val="000000"/>
                <w:kern w:val="0"/>
                <w:sz w:val="28"/>
                <w:szCs w:val="28"/>
                <w:lang w:bidi="ar"/>
              </w:rPr>
              <w:t>16.98%</w:t>
            </w:r>
          </w:p>
        </w:tc>
      </w:tr>
      <w:tr>
        <w:tblPrEx>
          <w:tblCellMar>
            <w:top w:w="15" w:type="dxa"/>
            <w:left w:w="15" w:type="dxa"/>
            <w:bottom w:w="15" w:type="dxa"/>
            <w:right w:w="15" w:type="dxa"/>
          </w:tblCellMar>
        </w:tblPrEx>
        <w:trPr>
          <w:trHeight w:val="474" w:hRule="atLeast"/>
        </w:trPr>
        <w:tc>
          <w:tcPr>
            <w:tcW w:w="2665" w:type="dxa"/>
            <w:tcBorders>
              <w:top w:val="single" w:color="FFFFFF" w:sz="8" w:space="0"/>
              <w:left w:val="single" w:color="FFFFFF" w:sz="8" w:space="0"/>
              <w:bottom w:val="single" w:color="FFFFFF" w:sz="8" w:space="0"/>
              <w:right w:val="single" w:color="FFFFFF" w:sz="8" w:space="0"/>
            </w:tcBorders>
            <w:shd w:val="clear" w:color="auto" w:fill="E8D0D0"/>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合计</w:t>
            </w:r>
          </w:p>
        </w:tc>
        <w:tc>
          <w:tcPr>
            <w:tcW w:w="5550" w:type="dxa"/>
            <w:gridSpan w:val="2"/>
            <w:tcBorders>
              <w:top w:val="single" w:color="FFFFFF" w:sz="8" w:space="0"/>
              <w:left w:val="single" w:color="FFFFFF" w:sz="8" w:space="0"/>
              <w:bottom w:val="single" w:color="FFFFFF" w:sz="8" w:space="0"/>
              <w:right w:val="single" w:color="FFFFFF" w:sz="8" w:space="0"/>
            </w:tcBorders>
            <w:shd w:val="clear" w:color="auto" w:fill="E8D0D0"/>
            <w:vAlign w:val="center"/>
          </w:tcPr>
          <w:p>
            <w:pPr>
              <w:jc w:val="center"/>
              <w:rPr>
                <w:rFonts w:ascii="仿宋" w:hAnsi="仿宋" w:eastAsia="仿宋" w:cs="仿宋"/>
                <w:color w:val="000000"/>
                <w:sz w:val="28"/>
                <w:szCs w:val="28"/>
              </w:rPr>
            </w:pPr>
            <w:r>
              <w:rPr>
                <w:rFonts w:hint="eastAsia" w:ascii="仿宋" w:hAnsi="仿宋" w:eastAsia="仿宋" w:cs="仿宋"/>
                <w:color w:val="000000"/>
                <w:kern w:val="0"/>
                <w:sz w:val="28"/>
                <w:szCs w:val="28"/>
              </w:rPr>
              <w:t>8836</w:t>
            </w:r>
          </w:p>
        </w:tc>
      </w:tr>
    </w:tbl>
    <w:p>
      <w:pPr>
        <w:numPr>
          <w:ilvl w:val="0"/>
          <w:numId w:val="2"/>
        </w:numPr>
        <w:ind w:firstLine="640" w:firstLineChars="200"/>
        <w:outlineLvl w:val="2"/>
        <w:rPr>
          <w:rFonts w:ascii="仿宋_GB2312" w:eastAsia="仿宋_GB2312"/>
          <w:sz w:val="32"/>
          <w:szCs w:val="32"/>
        </w:rPr>
      </w:pPr>
      <w:bookmarkStart w:id="28" w:name="_Toc28680"/>
      <w:r>
        <w:rPr>
          <w:rFonts w:hint="eastAsia" w:ascii="仿宋_GB2312" w:eastAsia="仿宋_GB2312"/>
          <w:sz w:val="32"/>
          <w:szCs w:val="32"/>
        </w:rPr>
        <w:t>性别结构</w:t>
      </w:r>
      <w:bookmarkEnd w:id="28"/>
    </w:p>
    <w:p>
      <w:pPr>
        <w:ind w:firstLine="640" w:firstLineChars="200"/>
        <w:rPr>
          <w:rFonts w:hint="eastAsia" w:ascii="仿宋_GB2312" w:eastAsia="仿宋_GB2312"/>
          <w:sz w:val="32"/>
          <w:szCs w:val="32"/>
          <w:lang w:eastAsia="zh-CN"/>
        </w:rPr>
      </w:pPr>
      <w:r>
        <w:rPr>
          <w:rFonts w:hint="eastAsia" w:ascii="仿宋_GB2312" w:eastAsia="仿宋_GB2312"/>
          <w:sz w:val="32"/>
          <w:szCs w:val="32"/>
        </w:rPr>
        <w:t>各学历层次毕业生男女比例有较大差异，女生比例随着学历</w:t>
      </w:r>
      <w:r>
        <w:rPr>
          <w:rFonts w:hint="eastAsia" w:ascii="仿宋_GB2312" w:eastAsia="仿宋_GB2312"/>
          <w:color w:val="000000" w:themeColor="text1"/>
          <w:sz w:val="32"/>
          <w:szCs w:val="32"/>
          <w14:textFill>
            <w14:solidFill>
              <w14:schemeClr w14:val="tx1"/>
            </w14:solidFill>
          </w14:textFill>
        </w:rPr>
        <w:t>增提</w:t>
      </w:r>
      <w:r>
        <w:rPr>
          <w:rFonts w:hint="eastAsia" w:ascii="仿宋_GB2312" w:eastAsia="仿宋_GB2312"/>
          <w:sz w:val="32"/>
          <w:szCs w:val="32"/>
        </w:rPr>
        <w:t>提高而增加，硕士生男女比例将近1：</w:t>
      </w: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此面的数据分析中不包含博士生</w:t>
      </w:r>
      <w:r>
        <w:rPr>
          <w:rFonts w:hint="eastAsia" w:ascii="仿宋_GB2312" w:eastAsia="仿宋_GB2312"/>
          <w:sz w:val="32"/>
          <w:szCs w:val="32"/>
          <w:lang w:eastAsia="zh-CN"/>
        </w:rPr>
        <w:t>）</w:t>
      </w:r>
    </w:p>
    <w:tbl>
      <w:tblPr>
        <w:tblStyle w:val="19"/>
        <w:tblW w:w="8425" w:type="dxa"/>
        <w:tblInd w:w="0" w:type="dxa"/>
        <w:tblLayout w:type="fixed"/>
        <w:tblCellMar>
          <w:top w:w="15" w:type="dxa"/>
          <w:left w:w="15" w:type="dxa"/>
          <w:bottom w:w="15" w:type="dxa"/>
          <w:right w:w="15" w:type="dxa"/>
        </w:tblCellMar>
      </w:tblPr>
      <w:tblGrid>
        <w:gridCol w:w="1462"/>
        <w:gridCol w:w="1428"/>
        <w:gridCol w:w="918"/>
        <w:gridCol w:w="1237"/>
        <w:gridCol w:w="918"/>
        <w:gridCol w:w="1238"/>
        <w:gridCol w:w="1224"/>
      </w:tblGrid>
      <w:tr>
        <w:tblPrEx>
          <w:tblCellMar>
            <w:top w:w="15" w:type="dxa"/>
            <w:left w:w="15" w:type="dxa"/>
            <w:bottom w:w="15" w:type="dxa"/>
            <w:right w:w="15" w:type="dxa"/>
          </w:tblCellMar>
        </w:tblPrEx>
        <w:trPr>
          <w:trHeight w:val="375" w:hRule="atLeast"/>
        </w:trPr>
        <w:tc>
          <w:tcPr>
            <w:tcW w:w="1462" w:type="dxa"/>
            <w:vMerge w:val="restart"/>
            <w:tcBorders>
              <w:top w:val="single" w:color="C0504D" w:sz="8" w:space="0"/>
              <w:left w:val="single" w:color="C0504D" w:sz="8" w:space="0"/>
              <w:bottom w:val="single" w:color="C0504D" w:sz="12" w:space="0"/>
              <w:right w:val="single" w:color="C0504D" w:sz="8" w:space="0"/>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学历</w:t>
            </w:r>
          </w:p>
        </w:tc>
        <w:tc>
          <w:tcPr>
            <w:tcW w:w="1428" w:type="dxa"/>
            <w:vMerge w:val="restart"/>
            <w:tcBorders>
              <w:top w:val="single" w:color="C0504D" w:sz="8" w:space="0"/>
              <w:left w:val="single" w:color="C0504D" w:sz="8" w:space="0"/>
              <w:bottom w:val="single" w:color="C0504D" w:sz="12" w:space="0"/>
              <w:right w:val="single" w:color="C0504D" w:sz="8" w:space="0"/>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毕业生数</w:t>
            </w:r>
          </w:p>
        </w:tc>
        <w:tc>
          <w:tcPr>
            <w:tcW w:w="4311" w:type="dxa"/>
            <w:gridSpan w:val="4"/>
            <w:tcBorders>
              <w:top w:val="single" w:color="C0504D" w:sz="8" w:space="0"/>
              <w:left w:val="single" w:color="C0504D" w:sz="8" w:space="0"/>
              <w:bottom w:val="single" w:color="C0504D" w:sz="12" w:space="0"/>
              <w:right w:val="single" w:color="C0504D" w:sz="8" w:space="0"/>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性别</w:t>
            </w:r>
          </w:p>
        </w:tc>
        <w:tc>
          <w:tcPr>
            <w:tcW w:w="1224" w:type="dxa"/>
            <w:tcBorders>
              <w:top w:val="single" w:color="C0504D" w:sz="8" w:space="0"/>
              <w:left w:val="single" w:color="C0504D" w:sz="8" w:space="0"/>
              <w:bottom w:val="single" w:color="C0504D" w:sz="12"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p>
        </w:tc>
      </w:tr>
      <w:tr>
        <w:tblPrEx>
          <w:tblCellMar>
            <w:top w:w="15" w:type="dxa"/>
            <w:left w:w="15" w:type="dxa"/>
            <w:bottom w:w="15" w:type="dxa"/>
            <w:right w:w="15" w:type="dxa"/>
          </w:tblCellMar>
        </w:tblPrEx>
        <w:trPr>
          <w:trHeight w:val="375" w:hRule="atLeast"/>
        </w:trPr>
        <w:tc>
          <w:tcPr>
            <w:tcW w:w="1462" w:type="dxa"/>
            <w:vMerge w:val="continue"/>
            <w:tcBorders>
              <w:top w:val="single" w:color="C0504D" w:sz="12" w:space="0"/>
              <w:left w:val="single" w:color="C0504D" w:sz="8" w:space="0"/>
              <w:bottom w:val="single" w:color="C0504D" w:sz="8" w:space="0"/>
              <w:right w:val="single" w:color="C0504D" w:sz="8" w:space="0"/>
            </w:tcBorders>
            <w:shd w:val="clear" w:color="auto" w:fill="F2DCDB"/>
            <w:vAlign w:val="center"/>
          </w:tcPr>
          <w:p>
            <w:pPr>
              <w:jc w:val="center"/>
              <w:rPr>
                <w:rFonts w:ascii="仿宋" w:hAnsi="仿宋" w:eastAsia="仿宋" w:cs="仿宋"/>
                <w:color w:val="000000"/>
                <w:sz w:val="28"/>
                <w:szCs w:val="28"/>
              </w:rPr>
            </w:pPr>
          </w:p>
        </w:tc>
        <w:tc>
          <w:tcPr>
            <w:tcW w:w="1428" w:type="dxa"/>
            <w:vMerge w:val="continue"/>
            <w:tcBorders>
              <w:top w:val="single" w:color="C0504D" w:sz="12" w:space="0"/>
              <w:left w:val="single" w:color="C0504D" w:sz="8" w:space="0"/>
              <w:bottom w:val="single" w:color="C0504D" w:sz="8" w:space="0"/>
              <w:right w:val="single" w:color="C0504D" w:sz="8" w:space="0"/>
            </w:tcBorders>
            <w:shd w:val="clear" w:color="auto" w:fill="F2DCDB"/>
            <w:vAlign w:val="center"/>
          </w:tcPr>
          <w:p>
            <w:pPr>
              <w:jc w:val="center"/>
              <w:rPr>
                <w:rFonts w:ascii="仿宋" w:hAnsi="仿宋" w:eastAsia="仿宋" w:cs="仿宋"/>
                <w:color w:val="000000"/>
                <w:sz w:val="28"/>
                <w:szCs w:val="28"/>
              </w:rPr>
            </w:pPr>
          </w:p>
        </w:tc>
        <w:tc>
          <w:tcPr>
            <w:tcW w:w="918" w:type="dxa"/>
            <w:tcBorders>
              <w:top w:val="single" w:color="C0504D" w:sz="12"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男</w:t>
            </w:r>
          </w:p>
        </w:tc>
        <w:tc>
          <w:tcPr>
            <w:tcW w:w="1237" w:type="dxa"/>
            <w:tcBorders>
              <w:top w:val="single" w:color="C0504D" w:sz="12"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比例</w:t>
            </w:r>
          </w:p>
        </w:tc>
        <w:tc>
          <w:tcPr>
            <w:tcW w:w="918" w:type="dxa"/>
            <w:tcBorders>
              <w:top w:val="single" w:color="C0504D" w:sz="12"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女</w:t>
            </w:r>
          </w:p>
        </w:tc>
        <w:tc>
          <w:tcPr>
            <w:tcW w:w="1238" w:type="dxa"/>
            <w:tcBorders>
              <w:top w:val="single" w:color="C0504D" w:sz="12"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比例</w:t>
            </w:r>
          </w:p>
        </w:tc>
        <w:tc>
          <w:tcPr>
            <w:tcW w:w="1224" w:type="dxa"/>
            <w:tcBorders>
              <w:top w:val="single" w:color="C0504D" w:sz="12"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男女比</w:t>
            </w:r>
          </w:p>
        </w:tc>
      </w:tr>
      <w:tr>
        <w:tblPrEx>
          <w:tblCellMar>
            <w:top w:w="15" w:type="dxa"/>
            <w:left w:w="15" w:type="dxa"/>
            <w:bottom w:w="15" w:type="dxa"/>
            <w:right w:w="15" w:type="dxa"/>
          </w:tblCellMar>
        </w:tblPrEx>
        <w:trPr>
          <w:trHeight w:val="375" w:hRule="atLeast"/>
        </w:trPr>
        <w:tc>
          <w:tcPr>
            <w:tcW w:w="1462"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博士生毕业</w:t>
            </w:r>
          </w:p>
        </w:tc>
        <w:tc>
          <w:tcPr>
            <w:tcW w:w="142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color w:val="000000"/>
                <w:kern w:val="0"/>
                <w:sz w:val="28"/>
                <w:szCs w:val="28"/>
                <w:lang w:bidi="ar"/>
              </w:rPr>
              <w:t>1</w:t>
            </w:r>
          </w:p>
        </w:tc>
        <w:tc>
          <w:tcPr>
            <w:tcW w:w="91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1</w:t>
            </w:r>
          </w:p>
        </w:tc>
        <w:tc>
          <w:tcPr>
            <w:tcW w:w="1237"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100%</w:t>
            </w:r>
          </w:p>
        </w:tc>
        <w:tc>
          <w:tcPr>
            <w:tcW w:w="91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p>
        </w:tc>
        <w:tc>
          <w:tcPr>
            <w:tcW w:w="123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p>
        </w:tc>
        <w:tc>
          <w:tcPr>
            <w:tcW w:w="1224"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p>
        </w:tc>
      </w:tr>
      <w:tr>
        <w:tblPrEx>
          <w:tblCellMar>
            <w:top w:w="15" w:type="dxa"/>
            <w:left w:w="15" w:type="dxa"/>
            <w:bottom w:w="15" w:type="dxa"/>
            <w:right w:w="15" w:type="dxa"/>
          </w:tblCellMar>
        </w:tblPrEx>
        <w:trPr>
          <w:trHeight w:val="375" w:hRule="atLeast"/>
        </w:trPr>
        <w:tc>
          <w:tcPr>
            <w:tcW w:w="1462"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硕士生毕业</w:t>
            </w:r>
          </w:p>
        </w:tc>
        <w:tc>
          <w:tcPr>
            <w:tcW w:w="142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kern w:val="0"/>
                <w:sz w:val="28"/>
                <w:szCs w:val="28"/>
              </w:rPr>
            </w:pPr>
            <w:r>
              <w:rPr>
                <w:color w:val="000000"/>
                <w:kern w:val="0"/>
                <w:sz w:val="28"/>
                <w:szCs w:val="28"/>
                <w:lang w:bidi="ar"/>
              </w:rPr>
              <w:t>430</w:t>
            </w:r>
          </w:p>
        </w:tc>
        <w:tc>
          <w:tcPr>
            <w:tcW w:w="91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217</w:t>
            </w:r>
          </w:p>
        </w:tc>
        <w:tc>
          <w:tcPr>
            <w:tcW w:w="1237"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50.47%</w:t>
            </w:r>
          </w:p>
        </w:tc>
        <w:tc>
          <w:tcPr>
            <w:tcW w:w="91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213</w:t>
            </w:r>
          </w:p>
        </w:tc>
        <w:tc>
          <w:tcPr>
            <w:tcW w:w="123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49.53%</w:t>
            </w:r>
          </w:p>
        </w:tc>
        <w:tc>
          <w:tcPr>
            <w:tcW w:w="1224"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rFonts w:hint="eastAsia"/>
                <w:color w:val="000000"/>
                <w:kern w:val="0"/>
                <w:sz w:val="28"/>
                <w:szCs w:val="28"/>
                <w:lang w:bidi="ar"/>
              </w:rPr>
              <w:t xml:space="preserve">1.02：1 </w:t>
            </w:r>
          </w:p>
        </w:tc>
      </w:tr>
      <w:tr>
        <w:tblPrEx>
          <w:tblCellMar>
            <w:top w:w="15" w:type="dxa"/>
            <w:left w:w="15" w:type="dxa"/>
            <w:bottom w:w="15" w:type="dxa"/>
            <w:right w:w="15" w:type="dxa"/>
          </w:tblCellMar>
        </w:tblPrEx>
        <w:trPr>
          <w:trHeight w:val="375" w:hRule="atLeast"/>
        </w:trPr>
        <w:tc>
          <w:tcPr>
            <w:tcW w:w="1462"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本科生毕业</w:t>
            </w:r>
          </w:p>
        </w:tc>
        <w:tc>
          <w:tcPr>
            <w:tcW w:w="142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r>
              <w:rPr>
                <w:color w:val="000000"/>
                <w:kern w:val="0"/>
                <w:sz w:val="28"/>
                <w:szCs w:val="28"/>
                <w:lang w:bidi="ar"/>
              </w:rPr>
              <w:t>6905</w:t>
            </w:r>
          </w:p>
        </w:tc>
        <w:tc>
          <w:tcPr>
            <w:tcW w:w="91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color w:val="000000"/>
                <w:kern w:val="0"/>
                <w:sz w:val="28"/>
                <w:szCs w:val="28"/>
                <w:lang w:bidi="ar"/>
              </w:rPr>
              <w:t>3974</w:t>
            </w:r>
          </w:p>
        </w:tc>
        <w:tc>
          <w:tcPr>
            <w:tcW w:w="1237"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color w:val="000000"/>
                <w:kern w:val="0"/>
                <w:sz w:val="28"/>
                <w:szCs w:val="28"/>
                <w:lang w:bidi="ar"/>
              </w:rPr>
              <w:t>57.55%</w:t>
            </w:r>
          </w:p>
        </w:tc>
        <w:tc>
          <w:tcPr>
            <w:tcW w:w="91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color w:val="000000"/>
                <w:kern w:val="0"/>
                <w:sz w:val="28"/>
                <w:szCs w:val="28"/>
                <w:lang w:bidi="ar"/>
              </w:rPr>
              <w:t>2931</w:t>
            </w:r>
          </w:p>
        </w:tc>
        <w:tc>
          <w:tcPr>
            <w:tcW w:w="123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color w:val="000000"/>
                <w:kern w:val="0"/>
                <w:sz w:val="28"/>
                <w:szCs w:val="28"/>
                <w:lang w:bidi="ar"/>
              </w:rPr>
              <w:t>42.45%</w:t>
            </w:r>
          </w:p>
        </w:tc>
        <w:tc>
          <w:tcPr>
            <w:tcW w:w="1224"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1.36：1</w:t>
            </w:r>
          </w:p>
        </w:tc>
      </w:tr>
      <w:tr>
        <w:tblPrEx>
          <w:tblCellMar>
            <w:top w:w="15" w:type="dxa"/>
            <w:left w:w="15" w:type="dxa"/>
            <w:bottom w:w="15" w:type="dxa"/>
            <w:right w:w="15" w:type="dxa"/>
          </w:tblCellMar>
        </w:tblPrEx>
        <w:trPr>
          <w:trHeight w:val="285" w:hRule="atLeast"/>
        </w:trPr>
        <w:tc>
          <w:tcPr>
            <w:tcW w:w="1462"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专科生毕业</w:t>
            </w:r>
          </w:p>
        </w:tc>
        <w:tc>
          <w:tcPr>
            <w:tcW w:w="142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color w:val="000000"/>
                <w:kern w:val="0"/>
                <w:sz w:val="28"/>
                <w:szCs w:val="28"/>
                <w:lang w:bidi="ar"/>
              </w:rPr>
              <w:t>1500</w:t>
            </w:r>
          </w:p>
        </w:tc>
        <w:tc>
          <w:tcPr>
            <w:tcW w:w="91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1003</w:t>
            </w:r>
          </w:p>
        </w:tc>
        <w:tc>
          <w:tcPr>
            <w:tcW w:w="1237"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66.87%</w:t>
            </w:r>
          </w:p>
        </w:tc>
        <w:tc>
          <w:tcPr>
            <w:tcW w:w="91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497</w:t>
            </w:r>
          </w:p>
        </w:tc>
        <w:tc>
          <w:tcPr>
            <w:tcW w:w="1238"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color w:val="000000"/>
                <w:kern w:val="0"/>
                <w:sz w:val="28"/>
                <w:szCs w:val="28"/>
                <w:lang w:bidi="ar"/>
              </w:rPr>
              <w:t>33.13%</w:t>
            </w:r>
          </w:p>
        </w:tc>
        <w:tc>
          <w:tcPr>
            <w:tcW w:w="1224" w:type="dxa"/>
            <w:tcBorders>
              <w:top w:val="single" w:color="C0504D" w:sz="8" w:space="0"/>
              <w:left w:val="single" w:color="C0504D" w:sz="8" w:space="0"/>
              <w:bottom w:val="single" w:color="C0504D" w:sz="8" w:space="0"/>
              <w:right w:val="single" w:color="C0504D" w:sz="8" w:space="0"/>
            </w:tcBorders>
            <w:shd w:val="clear" w:color="auto" w:fill="F2DCDB"/>
            <w:vAlign w:val="center"/>
          </w:tcPr>
          <w:p>
            <w:pPr>
              <w:widowControl/>
              <w:jc w:val="center"/>
              <w:textAlignment w:val="center"/>
              <w:rPr>
                <w:color w:val="000000"/>
                <w:kern w:val="0"/>
                <w:sz w:val="28"/>
                <w:szCs w:val="28"/>
                <w:lang w:bidi="ar"/>
              </w:rPr>
            </w:pPr>
            <w:r>
              <w:rPr>
                <w:rFonts w:hint="eastAsia"/>
                <w:color w:val="000000"/>
                <w:kern w:val="0"/>
                <w:sz w:val="28"/>
                <w:szCs w:val="28"/>
                <w:lang w:bidi="ar"/>
              </w:rPr>
              <w:t xml:space="preserve">2.02:1 </w:t>
            </w:r>
          </w:p>
        </w:tc>
      </w:tr>
      <w:tr>
        <w:tblPrEx>
          <w:tblCellMar>
            <w:top w:w="15" w:type="dxa"/>
            <w:left w:w="15" w:type="dxa"/>
            <w:bottom w:w="15" w:type="dxa"/>
            <w:right w:w="15" w:type="dxa"/>
          </w:tblCellMar>
        </w:tblPrEx>
        <w:trPr>
          <w:trHeight w:val="285" w:hRule="atLeast"/>
        </w:trPr>
        <w:tc>
          <w:tcPr>
            <w:tcW w:w="1462"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合计</w:t>
            </w:r>
          </w:p>
        </w:tc>
        <w:tc>
          <w:tcPr>
            <w:tcW w:w="142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8836</w:t>
            </w:r>
          </w:p>
        </w:tc>
        <w:tc>
          <w:tcPr>
            <w:tcW w:w="91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5195</w:t>
            </w:r>
          </w:p>
        </w:tc>
        <w:tc>
          <w:tcPr>
            <w:tcW w:w="1237"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61.88%</w:t>
            </w:r>
          </w:p>
        </w:tc>
        <w:tc>
          <w:tcPr>
            <w:tcW w:w="91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3641</w:t>
            </w:r>
          </w:p>
        </w:tc>
        <w:tc>
          <w:tcPr>
            <w:tcW w:w="1238"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38.12%</w:t>
            </w:r>
          </w:p>
        </w:tc>
        <w:tc>
          <w:tcPr>
            <w:tcW w:w="1224" w:type="dxa"/>
            <w:tcBorders>
              <w:top w:val="single" w:color="C0504D" w:sz="8" w:space="0"/>
              <w:left w:val="single" w:color="C0504D" w:sz="8" w:space="0"/>
              <w:bottom w:val="single" w:color="C0504D" w:sz="8" w:space="0"/>
              <w:right w:val="single" w:color="C0504D" w:sz="8" w:space="0"/>
            </w:tcBorders>
            <w:shd w:val="clear" w:color="auto" w:fill="FFFFFF"/>
            <w:vAlign w:val="center"/>
          </w:tcPr>
          <w:p>
            <w:pPr>
              <w:widowControl/>
              <w:jc w:val="center"/>
              <w:textAlignment w:val="center"/>
              <w:rPr>
                <w:color w:val="000000"/>
                <w:kern w:val="0"/>
                <w:sz w:val="28"/>
                <w:szCs w:val="28"/>
                <w:lang w:bidi="ar"/>
              </w:rPr>
            </w:pPr>
            <w:r>
              <w:rPr>
                <w:rFonts w:hint="eastAsia"/>
                <w:color w:val="000000"/>
                <w:kern w:val="0"/>
                <w:sz w:val="28"/>
                <w:szCs w:val="28"/>
                <w:lang w:bidi="ar"/>
              </w:rPr>
              <w:t xml:space="preserve">1.43:1 </w:t>
            </w:r>
          </w:p>
        </w:tc>
      </w:tr>
    </w:tbl>
    <w:p>
      <w:pPr>
        <w:numPr>
          <w:ilvl w:val="0"/>
          <w:numId w:val="2"/>
        </w:numPr>
        <w:ind w:firstLine="640" w:firstLineChars="200"/>
        <w:outlineLvl w:val="2"/>
        <w:rPr>
          <w:rFonts w:ascii="仿宋_GB2312" w:eastAsia="仿宋_GB2312"/>
          <w:sz w:val="32"/>
          <w:szCs w:val="32"/>
        </w:rPr>
      </w:pPr>
      <w:bookmarkStart w:id="29" w:name="_Toc3485"/>
      <w:r>
        <w:rPr>
          <w:rFonts w:hint="eastAsia" w:ascii="仿宋_GB2312" w:eastAsia="仿宋_GB2312"/>
          <w:sz w:val="32"/>
          <w:szCs w:val="32"/>
        </w:rPr>
        <w:t>生源结构</w:t>
      </w:r>
      <w:bookmarkEnd w:id="29"/>
    </w:p>
    <w:p>
      <w:pPr>
        <w:rPr>
          <w:rFonts w:ascii="仿宋_GB2312" w:eastAsia="仿宋_GB2312"/>
          <w:sz w:val="32"/>
          <w:szCs w:val="32"/>
        </w:rPr>
      </w:pPr>
      <w:r>
        <w:rPr>
          <w:rFonts w:hint="eastAsia" w:ascii="仿宋_GB2312" w:eastAsia="仿宋_GB2312"/>
          <w:sz w:val="32"/>
          <w:szCs w:val="32"/>
        </w:rPr>
        <w:t xml:space="preserve">   （1）生源结构表：</w:t>
      </w:r>
    </w:p>
    <w:p>
      <w:pPr>
        <w:ind w:right="-512" w:rightChars="-244" w:firstLine="640" w:firstLineChars="200"/>
        <w:rPr>
          <w:rFonts w:ascii="仿宋_GB2312" w:eastAsia="仿宋_GB2312"/>
          <w:sz w:val="32"/>
          <w:szCs w:val="32"/>
        </w:rPr>
      </w:pPr>
      <w:r>
        <w:rPr>
          <w:rFonts w:hint="eastAsia" w:ascii="仿宋_GB2312" w:eastAsia="仿宋_GB2312"/>
          <w:sz w:val="32"/>
          <w:szCs w:val="32"/>
        </w:rPr>
        <w:t>我校</w:t>
      </w:r>
      <w:r>
        <w:rPr>
          <w:rFonts w:hint="eastAsia" w:ascii="仿宋" w:hAnsi="仿宋" w:eastAsia="仿宋" w:cs="仿宋"/>
          <w:kern w:val="0"/>
          <w:sz w:val="28"/>
          <w:szCs w:val="28"/>
          <w:lang w:bidi="ar"/>
        </w:rPr>
        <w:t>68%</w:t>
      </w:r>
      <w:r>
        <w:rPr>
          <w:rFonts w:hint="eastAsia" w:ascii="仿宋_GB2312" w:eastAsia="仿宋_GB2312"/>
          <w:sz w:val="32"/>
          <w:szCs w:val="32"/>
        </w:rPr>
        <w:t>的毕业生来自河南省，较去年增长了4个百分点，本科毕业生省外生源占</w:t>
      </w:r>
      <w:r>
        <w:rPr>
          <w:rFonts w:hint="eastAsia" w:ascii="仿宋" w:hAnsi="仿宋" w:eastAsia="仿宋" w:cs="仿宋"/>
          <w:kern w:val="0"/>
          <w:sz w:val="28"/>
          <w:szCs w:val="28"/>
          <w:lang w:bidi="ar"/>
        </w:rPr>
        <w:t>42%</w:t>
      </w:r>
      <w:r>
        <w:rPr>
          <w:rFonts w:hint="eastAsia" w:ascii="仿宋_GB2312" w:eastAsia="仿宋_GB2312"/>
          <w:sz w:val="32"/>
          <w:szCs w:val="32"/>
        </w:rPr>
        <w:t>，较去年下降1个百分点。</w:t>
      </w:r>
    </w:p>
    <w:tbl>
      <w:tblPr>
        <w:tblStyle w:val="19"/>
        <w:tblpPr w:leftFromText="180" w:rightFromText="180" w:vertAnchor="text" w:horzAnchor="page" w:tblpX="1777" w:tblpY="191"/>
        <w:tblOverlap w:val="never"/>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98"/>
        <w:gridCol w:w="1356"/>
        <w:gridCol w:w="1356"/>
        <w:gridCol w:w="1356"/>
        <w:gridCol w:w="135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498" w:type="dxa"/>
            <w:tcBorders>
              <w:top w:val="single" w:color="C0504D" w:sz="8"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学历</w:t>
            </w:r>
          </w:p>
        </w:tc>
        <w:tc>
          <w:tcPr>
            <w:tcW w:w="1356" w:type="dxa"/>
            <w:tcBorders>
              <w:top w:val="single" w:color="C0504D" w:sz="8"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毕业人数</w:t>
            </w:r>
          </w:p>
        </w:tc>
        <w:tc>
          <w:tcPr>
            <w:tcW w:w="1356" w:type="dxa"/>
            <w:tcBorders>
              <w:top w:val="single" w:color="C0504D" w:sz="8"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河南省生源人数</w:t>
            </w:r>
          </w:p>
        </w:tc>
        <w:tc>
          <w:tcPr>
            <w:tcW w:w="1356" w:type="dxa"/>
            <w:tcBorders>
              <w:top w:val="single" w:color="C0504D" w:sz="8"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河南省</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比例</w:t>
            </w:r>
          </w:p>
        </w:tc>
        <w:tc>
          <w:tcPr>
            <w:tcW w:w="1355" w:type="dxa"/>
            <w:tcBorders>
              <w:top w:val="single" w:color="C0504D" w:sz="8"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省外生源人数</w:t>
            </w:r>
          </w:p>
        </w:tc>
        <w:tc>
          <w:tcPr>
            <w:tcW w:w="1415" w:type="dxa"/>
            <w:tcBorders>
              <w:top w:val="single" w:color="C0504D" w:sz="8"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省外生源</w:t>
            </w:r>
          </w:p>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498" w:type="dxa"/>
            <w:tcBorders>
              <w:top w:val="single" w:color="C0504D" w:sz="8"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硕士生毕业</w:t>
            </w:r>
          </w:p>
        </w:tc>
        <w:tc>
          <w:tcPr>
            <w:tcW w:w="1356" w:type="dxa"/>
            <w:tcBorders>
              <w:top w:val="single" w:color="C0504D" w:sz="8"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430</w:t>
            </w:r>
          </w:p>
        </w:tc>
        <w:tc>
          <w:tcPr>
            <w:tcW w:w="1356" w:type="dxa"/>
            <w:tcBorders>
              <w:top w:val="single" w:color="C0504D" w:sz="8"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378</w:t>
            </w:r>
          </w:p>
        </w:tc>
        <w:tc>
          <w:tcPr>
            <w:tcW w:w="1356" w:type="dxa"/>
            <w:tcBorders>
              <w:top w:val="single" w:color="C0504D" w:sz="8"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87.91%</w:t>
            </w:r>
          </w:p>
        </w:tc>
        <w:tc>
          <w:tcPr>
            <w:tcW w:w="1355" w:type="dxa"/>
            <w:tcBorders>
              <w:top w:val="single" w:color="C0504D" w:sz="8"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52</w:t>
            </w:r>
          </w:p>
        </w:tc>
        <w:tc>
          <w:tcPr>
            <w:tcW w:w="1415" w:type="dxa"/>
            <w:tcBorders>
              <w:top w:val="single" w:color="C0504D" w:sz="8"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498" w:type="dxa"/>
            <w:tcBorders>
              <w:top w:val="dotted" w:color="auto" w:sz="4" w:space="0"/>
              <w:left w:val="dotted" w:color="auto" w:sz="4" w:space="0"/>
              <w:bottom w:val="dotted" w:color="auto" w:sz="4"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本科生毕业</w:t>
            </w:r>
          </w:p>
        </w:tc>
        <w:tc>
          <w:tcPr>
            <w:tcW w:w="1356" w:type="dxa"/>
            <w:tcBorders>
              <w:top w:val="dotted" w:color="auto" w:sz="4" w:space="0"/>
              <w:left w:val="dotted" w:color="auto" w:sz="4" w:space="0"/>
              <w:bottom w:val="dotted" w:color="auto" w:sz="4"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6905</w:t>
            </w:r>
          </w:p>
        </w:tc>
        <w:tc>
          <w:tcPr>
            <w:tcW w:w="1356" w:type="dxa"/>
            <w:tcBorders>
              <w:top w:val="dotted" w:color="auto" w:sz="4" w:space="0"/>
              <w:left w:val="dotted" w:color="auto" w:sz="4" w:space="0"/>
              <w:bottom w:val="dotted" w:color="auto" w:sz="4"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3951</w:t>
            </w:r>
          </w:p>
        </w:tc>
        <w:tc>
          <w:tcPr>
            <w:tcW w:w="1356" w:type="dxa"/>
            <w:tcBorders>
              <w:top w:val="dotted" w:color="auto" w:sz="4" w:space="0"/>
              <w:left w:val="dotted" w:color="auto" w:sz="4" w:space="0"/>
              <w:bottom w:val="dotted" w:color="auto" w:sz="4"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57.22%</w:t>
            </w:r>
          </w:p>
        </w:tc>
        <w:tc>
          <w:tcPr>
            <w:tcW w:w="1355" w:type="dxa"/>
            <w:tcBorders>
              <w:top w:val="dotted" w:color="auto" w:sz="4" w:space="0"/>
              <w:left w:val="dotted" w:color="auto" w:sz="4" w:space="0"/>
              <w:bottom w:val="dotted" w:color="auto" w:sz="4"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2954</w:t>
            </w:r>
          </w:p>
        </w:tc>
        <w:tc>
          <w:tcPr>
            <w:tcW w:w="1415" w:type="dxa"/>
            <w:tcBorders>
              <w:top w:val="dotted" w:color="auto" w:sz="4" w:space="0"/>
              <w:left w:val="dotted" w:color="auto" w:sz="4" w:space="0"/>
              <w:bottom w:val="dotted" w:color="auto" w:sz="4"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42.78%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498" w:type="dxa"/>
            <w:tcBorders>
              <w:top w:val="dotted" w:color="auto" w:sz="4"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专科生毕业</w:t>
            </w:r>
          </w:p>
        </w:tc>
        <w:tc>
          <w:tcPr>
            <w:tcW w:w="1356" w:type="dxa"/>
            <w:tcBorders>
              <w:top w:val="dotted" w:color="auto" w:sz="4"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1500</w:t>
            </w:r>
          </w:p>
        </w:tc>
        <w:tc>
          <w:tcPr>
            <w:tcW w:w="1356" w:type="dxa"/>
            <w:tcBorders>
              <w:top w:val="dotted" w:color="auto" w:sz="4"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1500</w:t>
            </w:r>
          </w:p>
        </w:tc>
        <w:tc>
          <w:tcPr>
            <w:tcW w:w="1356" w:type="dxa"/>
            <w:tcBorders>
              <w:top w:val="dotted" w:color="auto" w:sz="4"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100.00%</w:t>
            </w:r>
          </w:p>
        </w:tc>
        <w:tc>
          <w:tcPr>
            <w:tcW w:w="1355" w:type="dxa"/>
            <w:tcBorders>
              <w:top w:val="dotted" w:color="auto" w:sz="4"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0</w:t>
            </w:r>
          </w:p>
        </w:tc>
        <w:tc>
          <w:tcPr>
            <w:tcW w:w="1415" w:type="dxa"/>
            <w:tcBorders>
              <w:top w:val="dotted" w:color="auto" w:sz="4" w:space="0"/>
              <w:left w:val="dotted" w:color="auto" w:sz="4" w:space="0"/>
              <w:bottom w:val="dotted" w:color="auto" w:sz="4" w:space="0"/>
              <w:right w:val="dotted" w:color="auto" w:sz="4" w:space="0"/>
              <w:tl2br w:val="nil"/>
              <w:tr2bl w:val="nil"/>
            </w:tcBorders>
            <w:shd w:val="clear" w:color="auto" w:fill="F2DCDB"/>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1498" w:type="dxa"/>
            <w:tcBorders>
              <w:top w:val="dotted" w:color="auto" w:sz="4"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合计</w:t>
            </w:r>
          </w:p>
        </w:tc>
        <w:tc>
          <w:tcPr>
            <w:tcW w:w="1356" w:type="dxa"/>
            <w:tcBorders>
              <w:top w:val="dotted" w:color="auto" w:sz="4"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8835</w:t>
            </w:r>
          </w:p>
        </w:tc>
        <w:tc>
          <w:tcPr>
            <w:tcW w:w="1356" w:type="dxa"/>
            <w:tcBorders>
              <w:top w:val="dotted" w:color="auto" w:sz="4"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5829</w:t>
            </w:r>
          </w:p>
        </w:tc>
        <w:tc>
          <w:tcPr>
            <w:tcW w:w="1356" w:type="dxa"/>
            <w:tcBorders>
              <w:top w:val="dotted" w:color="auto" w:sz="4"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68.37%</w:t>
            </w:r>
          </w:p>
        </w:tc>
        <w:tc>
          <w:tcPr>
            <w:tcW w:w="1355" w:type="dxa"/>
            <w:tcBorders>
              <w:top w:val="dotted" w:color="auto" w:sz="4"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3006</w:t>
            </w:r>
          </w:p>
        </w:tc>
        <w:tc>
          <w:tcPr>
            <w:tcW w:w="1415" w:type="dxa"/>
            <w:tcBorders>
              <w:top w:val="dotted" w:color="auto" w:sz="4" w:space="0"/>
              <w:left w:val="dotted" w:color="auto" w:sz="4" w:space="0"/>
              <w:bottom w:val="single" w:color="C0504D" w:sz="8" w:space="0"/>
              <w:right w:val="dotted" w:color="auto" w:sz="4"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lang w:bidi="ar"/>
              </w:rPr>
              <w:t>34.02%</w:t>
            </w:r>
          </w:p>
        </w:tc>
      </w:tr>
    </w:tbl>
    <w:p>
      <w:pPr>
        <w:rPr>
          <w:rFonts w:ascii="仿宋_GB2312" w:eastAsia="仿宋_GB2312"/>
          <w:sz w:val="32"/>
          <w:szCs w:val="32"/>
        </w:rPr>
      </w:pPr>
      <w:r>
        <w:rPr>
          <w:rFonts w:hint="eastAsia" w:ascii="仿宋_GB2312" w:eastAsia="仿宋_GB2312"/>
          <w:sz w:val="32"/>
          <w:szCs w:val="32"/>
        </w:rPr>
        <w:t>（2）2017-2019届本科毕业生省内、外生源变化情况</w:t>
      </w:r>
    </w:p>
    <w:p>
      <w:pPr>
        <w:rPr>
          <w:rFonts w:ascii="仿宋_GB2312" w:eastAsia="仿宋_GB2312"/>
          <w:sz w:val="32"/>
          <w:szCs w:val="32"/>
        </w:rPr>
      </w:pPr>
      <w:r>
        <w:drawing>
          <wp:inline distT="0" distB="0" distL="114300" distR="114300">
            <wp:extent cx="5274310" cy="3788410"/>
            <wp:effectExtent l="4445" t="4445" r="17145" b="17145"/>
            <wp:docPr id="2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ascii="仿宋_GB2312" w:eastAsia="仿宋_GB2312"/>
          <w:sz w:val="32"/>
          <w:szCs w:val="32"/>
        </w:rPr>
        <w:br w:type="page"/>
      </w:r>
    </w:p>
    <w:p>
      <w:pPr>
        <w:rPr>
          <w:rFonts w:ascii="仿宋_GB2312" w:eastAsia="仿宋_GB2312"/>
          <w:sz w:val="32"/>
          <w:szCs w:val="32"/>
        </w:rPr>
      </w:pPr>
      <w:r>
        <w:rPr>
          <w:rFonts w:hint="eastAsia" w:ascii="仿宋_GB2312" w:eastAsia="仿宋_GB2312"/>
          <w:sz w:val="32"/>
          <w:szCs w:val="32"/>
        </w:rPr>
        <w:t>（2）本科生各省、直辖市生源分布表：</w:t>
      </w:r>
    </w:p>
    <w:p>
      <w:pPr>
        <w:spacing w:line="239" w:lineRule="exact"/>
        <w:rPr>
          <w:sz w:val="22"/>
        </w:rPr>
      </w:pPr>
      <w:r>
        <w:rPr>
          <w:rFonts w:ascii="宋体" w:hAnsi="宋体"/>
          <w:sz w:val="22"/>
        </w:rPr>
        <mc:AlternateContent>
          <mc:Choice Requires="wps">
            <w:drawing>
              <wp:anchor distT="0" distB="0" distL="114300" distR="114300" simplePos="0" relativeHeight="251659264" behindDoc="1" locked="0" layoutInCell="0" allowOverlap="1">
                <wp:simplePos x="0" y="0"/>
                <wp:positionH relativeFrom="column">
                  <wp:posOffset>-1905</wp:posOffset>
                </wp:positionH>
                <wp:positionV relativeFrom="paragraph">
                  <wp:posOffset>48260</wp:posOffset>
                </wp:positionV>
                <wp:extent cx="5106035" cy="3175"/>
                <wp:effectExtent l="0" t="0" r="18415" b="15875"/>
                <wp:wrapNone/>
                <wp:docPr id="20" name="直线 3"/>
                <wp:cNvGraphicFramePr/>
                <a:graphic xmlns:a="http://schemas.openxmlformats.org/drawingml/2006/main">
                  <a:graphicData uri="http://schemas.microsoft.com/office/word/2010/wordprocessingShape">
                    <wps:wsp>
                      <wps:cNvCnPr/>
                      <wps:spPr>
                        <a:xfrm flipV="1">
                          <a:off x="0" y="0"/>
                          <a:ext cx="5106035" cy="3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y;margin-left:-0.15pt;margin-top:3.8pt;height:0.25pt;width:402.05pt;z-index:-251657216;mso-width-relative:page;mso-height-relative:page;" filled="f" stroked="t" coordsize="21600,21600" o:allowincell="f" o:gfxdata="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MrE/1QAAAAUBAAAPAAAAAAAAAAEAIAAAACIAAABkcnMv&#10;ZG93bnJldi54bWxQSwECFAAUAAAACACHTuJAsgo/gc0BAACPAwAADgAAAAAAAAABACAAAAAkAQAA&#10;ZHJzL2Uyb0RvYy54bWxQSwUGAAAAAAYABgBZAQAAYwUAAAAA&#10;">
                <v:fill on="f" focussize="0,0"/>
                <v:stroke weight="0.47992125984252pt" color="#000000" joinstyle="round"/>
                <v:imagedata o:title=""/>
                <o:lock v:ext="edit" aspectratio="f"/>
              </v:line>
            </w:pict>
          </mc:Fallback>
        </mc:AlternateContent>
      </w:r>
    </w:p>
    <w:p>
      <w:pPr>
        <w:spacing w:line="239" w:lineRule="auto"/>
        <w:jc w:val="center"/>
        <w:rPr>
          <w:sz w:val="22"/>
        </w:rPr>
      </w:pPr>
      <w:r>
        <w:rPr>
          <w:rFonts w:hint="eastAsia" w:ascii="仿宋_GB2312" w:eastAsia="仿宋_GB2312"/>
          <w:sz w:val="32"/>
          <w:szCs w:val="32"/>
        </w:rPr>
        <w:t>河南工业大学 2019届本科毕业生生源地区分布</w:t>
      </w:r>
    </w:p>
    <w:tbl>
      <w:tblPr>
        <w:tblStyle w:val="19"/>
        <w:tblW w:w="8300" w:type="dxa"/>
        <w:tblInd w:w="0" w:type="dxa"/>
        <w:tblLayout w:type="fixed"/>
        <w:tblCellMar>
          <w:top w:w="15" w:type="dxa"/>
          <w:left w:w="15" w:type="dxa"/>
          <w:bottom w:w="15" w:type="dxa"/>
          <w:right w:w="15" w:type="dxa"/>
        </w:tblCellMar>
      </w:tblPr>
      <w:tblGrid>
        <w:gridCol w:w="1623"/>
        <w:gridCol w:w="1669"/>
        <w:gridCol w:w="1669"/>
        <w:gridCol w:w="1670"/>
        <w:gridCol w:w="1669"/>
      </w:tblGrid>
      <w:tr>
        <w:tblPrEx>
          <w:tblCellMar>
            <w:top w:w="15" w:type="dxa"/>
            <w:left w:w="15" w:type="dxa"/>
            <w:bottom w:w="15" w:type="dxa"/>
            <w:right w:w="15" w:type="dxa"/>
          </w:tblCellMar>
        </w:tblPrEx>
        <w:trPr>
          <w:trHeight w:val="534" w:hRule="atLeast"/>
        </w:trPr>
        <w:tc>
          <w:tcPr>
            <w:tcW w:w="1623" w:type="dxa"/>
            <w:tcBorders>
              <w:top w:val="single" w:color="000000" w:sz="4" w:space="0"/>
              <w:bottom w:val="single" w:color="000000" w:sz="4" w:space="0"/>
            </w:tcBorders>
            <w:shd w:val="clear" w:color="auto" w:fill="auto"/>
            <w:vAlign w:val="bottom"/>
          </w:tcPr>
          <w:p>
            <w:pPr>
              <w:widowControl/>
              <w:ind w:firstLine="220" w:firstLineChars="100"/>
              <w:textAlignment w:val="bottom"/>
              <w:rPr>
                <w:rFonts w:ascii="宋体" w:hAnsi="宋体" w:cs="宋体"/>
                <w:color w:val="000000"/>
                <w:sz w:val="22"/>
                <w:szCs w:val="22"/>
              </w:rPr>
            </w:pPr>
            <w:r>
              <w:rPr>
                <w:rFonts w:hint="eastAsia" w:ascii="宋体" w:hAnsi="宋体" w:cs="宋体"/>
                <w:color w:val="000000"/>
                <w:kern w:val="0"/>
                <w:sz w:val="22"/>
                <w:szCs w:val="22"/>
                <w:lang w:bidi="ar"/>
              </w:rPr>
              <w:t xml:space="preserve">  地区</w:t>
            </w:r>
          </w:p>
        </w:tc>
        <w:tc>
          <w:tcPr>
            <w:tcW w:w="1669" w:type="dxa"/>
            <w:tcBorders>
              <w:top w:val="single" w:color="000000" w:sz="4" w:space="0"/>
              <w:bottom w:val="single" w:color="000000" w:sz="4" w:space="0"/>
            </w:tcBorders>
            <w:shd w:val="clear" w:color="auto" w:fill="auto"/>
            <w:vAlign w:val="bottom"/>
          </w:tcPr>
          <w:p>
            <w:pPr>
              <w:widowControl/>
              <w:ind w:firstLine="220" w:firstLineChars="100"/>
              <w:textAlignment w:val="bottom"/>
              <w:rPr>
                <w:rFonts w:ascii="宋体" w:hAnsi="宋体" w:cs="宋体"/>
                <w:color w:val="000000"/>
                <w:sz w:val="22"/>
                <w:szCs w:val="22"/>
              </w:rPr>
            </w:pPr>
            <w:r>
              <w:rPr>
                <w:rStyle w:val="32"/>
                <w:rFonts w:hint="default"/>
                <w:lang w:bidi="ar"/>
              </w:rPr>
              <w:t xml:space="preserve">   省份</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本科生</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比例</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总计</w:t>
            </w:r>
          </w:p>
        </w:tc>
      </w:tr>
      <w:tr>
        <w:tblPrEx>
          <w:tblCellMar>
            <w:top w:w="15" w:type="dxa"/>
            <w:left w:w="15" w:type="dxa"/>
            <w:bottom w:w="15" w:type="dxa"/>
            <w:right w:w="15" w:type="dxa"/>
          </w:tblCellMar>
        </w:tblPrEx>
        <w:trPr>
          <w:trHeight w:val="392" w:hRule="atLeast"/>
        </w:trPr>
        <w:tc>
          <w:tcPr>
            <w:tcW w:w="1623" w:type="dxa"/>
            <w:vMerge w:val="restart"/>
            <w:tcBorders>
              <w:top w:val="single" w:color="000000" w:sz="4" w:space="0"/>
              <w:bottom w:val="single" w:color="000000" w:sz="4" w:space="0"/>
            </w:tcBorders>
            <w:shd w:val="clear" w:color="auto" w:fill="auto"/>
            <w:vAlign w:val="center"/>
          </w:tcPr>
          <w:p>
            <w:pPr>
              <w:widowControl/>
              <w:ind w:firstLine="220" w:firstLineChars="100"/>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华北</w:t>
            </w:r>
          </w:p>
        </w:tc>
        <w:tc>
          <w:tcPr>
            <w:tcW w:w="1669" w:type="dxa"/>
            <w:tcBorders>
              <w:top w:val="single" w:color="000000" w:sz="4" w:space="0"/>
              <w:bottom w:val="single" w:color="000000" w:sz="4" w:space="0"/>
            </w:tcBorders>
            <w:shd w:val="clear" w:color="auto" w:fill="auto"/>
            <w:vAlign w:val="bottom"/>
          </w:tcPr>
          <w:p>
            <w:pPr>
              <w:widowControl/>
              <w:ind w:firstLine="220" w:firstLineChars="100"/>
              <w:textAlignment w:val="bottom"/>
              <w:rPr>
                <w:rFonts w:ascii="宋体" w:hAnsi="宋体" w:cs="宋体"/>
                <w:color w:val="000000"/>
                <w:sz w:val="22"/>
                <w:szCs w:val="22"/>
              </w:rPr>
            </w:pPr>
            <w:r>
              <w:rPr>
                <w:rStyle w:val="32"/>
                <w:rFonts w:hint="default"/>
                <w:lang w:bidi="ar"/>
              </w:rPr>
              <w:t xml:space="preserve">   北京</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23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0.33%</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655</w:t>
            </w: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ind w:firstLine="220" w:firstLineChars="100"/>
              <w:textAlignment w:val="bottom"/>
              <w:rPr>
                <w:rFonts w:ascii="宋体" w:hAnsi="宋体" w:cs="宋体"/>
                <w:color w:val="000000"/>
                <w:sz w:val="22"/>
                <w:szCs w:val="22"/>
              </w:rPr>
            </w:pPr>
            <w:r>
              <w:rPr>
                <w:rStyle w:val="32"/>
                <w:rFonts w:hint="default"/>
                <w:lang w:bidi="ar"/>
              </w:rPr>
              <w:t xml:space="preserve">   河北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186</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2.69%</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ind w:firstLine="220" w:firstLineChars="100"/>
              <w:textAlignment w:val="bottom"/>
              <w:rPr>
                <w:rFonts w:ascii="宋体" w:hAnsi="宋体" w:cs="宋体"/>
                <w:color w:val="000000"/>
                <w:sz w:val="22"/>
                <w:szCs w:val="22"/>
              </w:rPr>
            </w:pPr>
            <w:r>
              <w:rPr>
                <w:rStyle w:val="32"/>
                <w:rFonts w:hint="default"/>
                <w:lang w:bidi="ar"/>
              </w:rPr>
              <w:t xml:space="preserve">   天津</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118</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1.71%</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6"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内蒙古</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136</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1.97%</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山西</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192</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2.78%</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restart"/>
            <w:tcBorders>
              <w:top w:val="single" w:color="000000" w:sz="4" w:space="0"/>
              <w:bottom w:val="single" w:color="000000" w:sz="4" w:space="0"/>
            </w:tcBorders>
            <w:shd w:val="clear" w:color="auto" w:fill="auto"/>
            <w:vAlign w:val="center"/>
          </w:tcPr>
          <w:p>
            <w:pPr>
              <w:widowControl/>
              <w:ind w:firstLine="220" w:firstLineChars="100"/>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东北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黑龙江</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74</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1.07%</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187</w:t>
            </w: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吉林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62</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0.90%</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辽宁</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51</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0.74%</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restart"/>
            <w:tcBorders>
              <w:top w:val="single" w:color="000000" w:sz="4" w:space="0"/>
              <w:bottom w:val="single" w:color="000000" w:sz="4" w:space="0"/>
            </w:tcBorders>
            <w:shd w:val="clear" w:color="auto" w:fill="auto"/>
            <w:vAlign w:val="center"/>
          </w:tcPr>
          <w:p>
            <w:pPr>
              <w:widowControl/>
              <w:ind w:firstLine="220" w:firstLineChars="100"/>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华东</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安徽</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243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3.52%</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875</w:t>
            </w:r>
          </w:p>
        </w:tc>
      </w:tr>
      <w:tr>
        <w:tblPrEx>
          <w:tblCellMar>
            <w:top w:w="15" w:type="dxa"/>
            <w:left w:w="15" w:type="dxa"/>
            <w:bottom w:w="15" w:type="dxa"/>
            <w:right w:w="15" w:type="dxa"/>
          </w:tblCellMar>
        </w:tblPrEx>
        <w:trPr>
          <w:trHeight w:val="356"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福建</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100</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1.45%</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江苏</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106</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1.54%</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江西</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107</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1.55%</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山东</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117</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1.69%</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上海</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89</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1.29%</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418"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浙江</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113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1.64%</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restart"/>
            <w:tcBorders>
              <w:top w:val="single" w:color="000000" w:sz="4" w:space="0"/>
              <w:bottom w:val="single" w:color="000000" w:sz="4" w:space="0"/>
            </w:tcBorders>
            <w:shd w:val="clear" w:color="auto" w:fill="auto"/>
            <w:vAlign w:val="center"/>
          </w:tcPr>
          <w:p>
            <w:pPr>
              <w:widowControl/>
              <w:ind w:firstLine="420" w:firstLineChars="200"/>
              <w:textAlignment w:val="center"/>
              <w:rPr>
                <w:rFonts w:ascii="宋体" w:hAnsi="宋体" w:cs="宋体"/>
                <w:color w:val="000000"/>
                <w:szCs w:val="21"/>
              </w:rPr>
            </w:pPr>
            <w:r>
              <w:rPr>
                <w:rFonts w:hint="eastAsia" w:ascii="宋体" w:hAnsi="宋体" w:cs="宋体"/>
                <w:color w:val="000000"/>
                <w:kern w:val="0"/>
                <w:szCs w:val="21"/>
                <w:lang w:bidi="ar"/>
              </w:rPr>
              <w:t>华南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广东</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color w:val="000000"/>
                <w:szCs w:val="21"/>
              </w:rPr>
            </w:pPr>
            <w:r>
              <w:rPr>
                <w:rFonts w:hint="eastAsia"/>
                <w:color w:val="000000"/>
                <w:szCs w:val="21"/>
              </w:rPr>
              <w:t>91</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1.32%</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286</w:t>
            </w: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广西</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83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1.20%</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海南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112</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1.62%</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353" w:hRule="atLeast"/>
        </w:trPr>
        <w:tc>
          <w:tcPr>
            <w:tcW w:w="1623" w:type="dxa"/>
            <w:vMerge w:val="restart"/>
            <w:tcBorders>
              <w:top w:val="single" w:color="000000" w:sz="4" w:space="0"/>
              <w:bottom w:val="single" w:color="000000" w:sz="4" w:space="0"/>
            </w:tcBorders>
            <w:shd w:val="clear" w:color="auto" w:fill="auto"/>
            <w:vAlign w:val="center"/>
          </w:tcPr>
          <w:p>
            <w:pPr>
              <w:widowControl/>
              <w:ind w:firstLine="420" w:firstLineChars="200"/>
              <w:textAlignment w:val="center"/>
              <w:rPr>
                <w:rFonts w:ascii="宋体" w:hAnsi="宋体" w:cs="宋体"/>
                <w:color w:val="000000"/>
                <w:szCs w:val="21"/>
              </w:rPr>
            </w:pPr>
            <w:r>
              <w:rPr>
                <w:rFonts w:hint="eastAsia" w:ascii="宋体" w:hAnsi="宋体" w:cs="宋体"/>
                <w:color w:val="000000"/>
                <w:kern w:val="0"/>
                <w:szCs w:val="21"/>
                <w:lang w:bidi="ar"/>
              </w:rPr>
              <w:t>华中</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河南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3947</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57.16%</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4171</w:t>
            </w:r>
          </w:p>
        </w:tc>
      </w:tr>
      <w:tr>
        <w:tblPrEx>
          <w:tblCellMar>
            <w:top w:w="15" w:type="dxa"/>
            <w:left w:w="15" w:type="dxa"/>
            <w:bottom w:w="15" w:type="dxa"/>
            <w:right w:w="15" w:type="dxa"/>
          </w:tblCellMar>
        </w:tblPrEx>
        <w:trPr>
          <w:trHeight w:val="356" w:hRule="atLeast"/>
        </w:trPr>
        <w:tc>
          <w:tcPr>
            <w:tcW w:w="1623"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湖北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szCs w:val="21"/>
              </w:rPr>
              <w:t>100</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1.45%</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湖南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124</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1.80%</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Cs w:val="21"/>
              </w:rPr>
            </w:pPr>
          </w:p>
        </w:tc>
      </w:tr>
      <w:tr>
        <w:tblPrEx>
          <w:tblCellMar>
            <w:top w:w="15" w:type="dxa"/>
            <w:left w:w="15" w:type="dxa"/>
            <w:bottom w:w="15" w:type="dxa"/>
            <w:right w:w="15" w:type="dxa"/>
          </w:tblCellMar>
        </w:tblPrEx>
        <w:trPr>
          <w:trHeight w:val="353" w:hRule="atLeast"/>
        </w:trPr>
        <w:tc>
          <w:tcPr>
            <w:tcW w:w="1623" w:type="dxa"/>
            <w:vMerge w:val="restart"/>
            <w:tcBorders>
              <w:top w:val="single" w:color="000000" w:sz="4" w:space="0"/>
              <w:bottom w:val="single" w:color="000000" w:sz="4" w:space="0"/>
            </w:tcBorders>
            <w:shd w:val="clear" w:color="auto" w:fill="auto"/>
            <w:vAlign w:val="center"/>
          </w:tcPr>
          <w:p>
            <w:pPr>
              <w:widowControl/>
              <w:ind w:firstLine="220" w:firstLineChars="100"/>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西南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贵州</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109</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1.58%</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367</w:t>
            </w: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四川</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113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1.64%</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云南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84</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1.22%</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重庆</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61</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0.88%</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restart"/>
            <w:tcBorders>
              <w:top w:val="single" w:color="000000" w:sz="4" w:space="0"/>
              <w:bottom w:val="single" w:color="000000" w:sz="4" w:space="0"/>
            </w:tcBorders>
            <w:shd w:val="clear" w:color="auto" w:fill="auto"/>
            <w:vAlign w:val="center"/>
          </w:tcPr>
          <w:p>
            <w:pPr>
              <w:widowControl/>
              <w:ind w:firstLine="220" w:firstLineChars="100"/>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西北</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甘肃</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75</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1.09%</w:t>
            </w:r>
          </w:p>
        </w:tc>
        <w:tc>
          <w:tcPr>
            <w:tcW w:w="1669" w:type="dxa"/>
            <w:vMerge w:val="restart"/>
            <w:tcBorders>
              <w:top w:val="single" w:color="000000" w:sz="4" w:space="0"/>
              <w:bottom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364</w:t>
            </w: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宁夏</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72</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1.04%</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青海</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63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0.91%</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5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陕西</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73</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1.06%</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r>
        <w:tblPrEx>
          <w:tblCellMar>
            <w:top w:w="15" w:type="dxa"/>
            <w:left w:w="15" w:type="dxa"/>
            <w:bottom w:w="15" w:type="dxa"/>
            <w:right w:w="15" w:type="dxa"/>
          </w:tblCellMar>
        </w:tblPrEx>
        <w:trPr>
          <w:trHeight w:val="363" w:hRule="atLeast"/>
        </w:trPr>
        <w:tc>
          <w:tcPr>
            <w:tcW w:w="1623" w:type="dxa"/>
            <w:vMerge w:val="continue"/>
            <w:tcBorders>
              <w:top w:val="single" w:color="000000" w:sz="4" w:space="0"/>
              <w:bottom w:val="single" w:color="000000" w:sz="4" w:space="0"/>
            </w:tcBorders>
            <w:shd w:val="clear" w:color="auto" w:fill="auto"/>
            <w:vAlign w:val="center"/>
          </w:tcPr>
          <w:p>
            <w:pPr>
              <w:rPr>
                <w:rFonts w:ascii="宋体" w:hAnsi="宋体" w:cs="宋体"/>
                <w:color w:val="000000"/>
                <w:sz w:val="22"/>
                <w:szCs w:val="22"/>
              </w:rPr>
            </w:pP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新疆</w:t>
            </w:r>
          </w:p>
        </w:tc>
        <w:tc>
          <w:tcPr>
            <w:tcW w:w="1669"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sz w:val="22"/>
                <w:szCs w:val="22"/>
              </w:rPr>
              <w:t>81</w:t>
            </w:r>
          </w:p>
        </w:tc>
        <w:tc>
          <w:tcPr>
            <w:tcW w:w="1670" w:type="dxa"/>
            <w:tcBorders>
              <w:top w:val="single" w:color="000000" w:sz="4" w:space="0"/>
              <w:bottom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1.17%</w:t>
            </w:r>
          </w:p>
        </w:tc>
        <w:tc>
          <w:tcPr>
            <w:tcW w:w="1669" w:type="dxa"/>
            <w:vMerge w:val="continue"/>
            <w:tcBorders>
              <w:top w:val="single" w:color="000000" w:sz="4" w:space="0"/>
              <w:bottom w:val="single" w:color="000000" w:sz="4" w:space="0"/>
            </w:tcBorders>
            <w:shd w:val="clear" w:color="auto" w:fill="auto"/>
            <w:vAlign w:val="center"/>
          </w:tcPr>
          <w:p>
            <w:pPr>
              <w:jc w:val="center"/>
              <w:rPr>
                <w:rFonts w:ascii="宋体" w:hAnsi="宋体" w:cs="宋体"/>
                <w:color w:val="000000"/>
                <w:sz w:val="22"/>
                <w:szCs w:val="22"/>
              </w:rPr>
            </w:pPr>
          </w:p>
        </w:tc>
      </w:tr>
    </w:tbl>
    <w:p>
      <w:pPr>
        <w:rPr>
          <w:rFonts w:ascii="仿宋_GB2312" w:eastAsia="仿宋_GB2312"/>
          <w:sz w:val="32"/>
          <w:szCs w:val="32"/>
        </w:rPr>
      </w:pPr>
      <w:r>
        <w:rPr>
          <w:rFonts w:hint="eastAsia" w:ascii="仿宋_GB2312" w:eastAsia="仿宋_GB2312"/>
          <w:sz w:val="32"/>
          <w:szCs w:val="32"/>
        </w:rPr>
        <w:t>（3）各学历层次省内生源结构图：</w:t>
      </w:r>
    </w:p>
    <w:p>
      <w:pPr>
        <w:rPr>
          <w:rFonts w:ascii="仿宋_GB2312" w:eastAsia="仿宋_GB2312"/>
          <w:sz w:val="32"/>
          <w:szCs w:val="32"/>
        </w:rPr>
      </w:pPr>
      <w:r>
        <w:drawing>
          <wp:inline distT="0" distB="0" distL="114300" distR="114300">
            <wp:extent cx="5422265" cy="3703955"/>
            <wp:effectExtent l="5080" t="4445" r="20955" b="635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ascii="仿宋_GB2312" w:eastAsia="仿宋_GB2312"/>
          <w:sz w:val="32"/>
          <w:szCs w:val="32"/>
        </w:rPr>
      </w:pPr>
    </w:p>
    <w:p>
      <w:pPr>
        <w:outlineLvl w:val="2"/>
        <w:rPr>
          <w:rFonts w:ascii="仿宋_GB2312" w:hAnsi="宋体" w:eastAsia="仿宋_GB2312"/>
          <w:sz w:val="32"/>
          <w:szCs w:val="32"/>
        </w:rPr>
      </w:pPr>
      <w:bookmarkStart w:id="30" w:name="_Toc3467"/>
      <w:r>
        <w:rPr>
          <w:rFonts w:hint="eastAsia" w:ascii="仿宋_GB2312" w:hAnsi="宋体" w:eastAsia="仿宋_GB2312"/>
          <w:sz w:val="32"/>
          <w:szCs w:val="32"/>
        </w:rPr>
        <w:t>4.院系结构</w:t>
      </w:r>
      <w:bookmarkEnd w:id="30"/>
    </w:p>
    <w:p>
      <w:pPr>
        <w:rPr>
          <w:rFonts w:ascii="仿宋_GB2312" w:eastAsia="仿宋_GB2312"/>
          <w:sz w:val="32"/>
          <w:szCs w:val="32"/>
        </w:rPr>
      </w:pPr>
      <w:r>
        <w:rPr>
          <w:rFonts w:hint="eastAsia" w:ascii="仿宋_GB2312" w:eastAsia="仿宋_GB2312"/>
          <w:sz w:val="32"/>
          <w:szCs w:val="32"/>
        </w:rPr>
        <w:t>（1）各学历毕业生院系结构</w:t>
      </w:r>
    </w:p>
    <w:p>
      <w:pPr>
        <w:ind w:firstLine="707" w:firstLineChars="221"/>
        <w:rPr>
          <w:rFonts w:ascii="仿宋_GB2312" w:eastAsia="仿宋_GB2312"/>
          <w:sz w:val="32"/>
          <w:szCs w:val="32"/>
        </w:rPr>
      </w:pPr>
      <w:r>
        <w:rPr>
          <w:rFonts w:hint="eastAsia" w:ascii="仿宋_GB2312" w:eastAsia="仿宋_GB2312"/>
          <w:sz w:val="32"/>
          <w:szCs w:val="32"/>
        </w:rPr>
        <w:t>硕士毕业生分布在16个学院，本科分布在17个学院，专科分布</w:t>
      </w:r>
      <w:r>
        <w:rPr>
          <w:rFonts w:hint="eastAsia" w:ascii="仿宋_GB2312" w:eastAsia="仿宋_GB2312"/>
          <w:color w:val="auto"/>
          <w:sz w:val="32"/>
          <w:szCs w:val="32"/>
        </w:rPr>
        <w:t>在3个</w:t>
      </w:r>
      <w:r>
        <w:rPr>
          <w:rFonts w:hint="eastAsia" w:ascii="仿宋_GB2312" w:eastAsia="仿宋_GB2312"/>
          <w:sz w:val="32"/>
          <w:szCs w:val="32"/>
        </w:rPr>
        <w:t>学院。</w:t>
      </w:r>
    </w:p>
    <w:tbl>
      <w:tblPr>
        <w:tblStyle w:val="19"/>
        <w:tblW w:w="8218" w:type="dxa"/>
        <w:jc w:val="center"/>
        <w:tblLayout w:type="fixed"/>
        <w:tblCellMar>
          <w:top w:w="15" w:type="dxa"/>
          <w:left w:w="15" w:type="dxa"/>
          <w:bottom w:w="15" w:type="dxa"/>
          <w:right w:w="15" w:type="dxa"/>
        </w:tblCellMar>
      </w:tblPr>
      <w:tblGrid>
        <w:gridCol w:w="872"/>
        <w:gridCol w:w="2912"/>
        <w:gridCol w:w="824"/>
        <w:gridCol w:w="824"/>
        <w:gridCol w:w="824"/>
        <w:gridCol w:w="824"/>
        <w:gridCol w:w="1138"/>
      </w:tblGrid>
      <w:tr>
        <w:tblPrEx>
          <w:tblCellMar>
            <w:top w:w="15" w:type="dxa"/>
            <w:left w:w="15" w:type="dxa"/>
            <w:bottom w:w="15" w:type="dxa"/>
            <w:right w:w="15" w:type="dxa"/>
          </w:tblCellMar>
        </w:tblPrEx>
        <w:trPr>
          <w:trHeight w:val="632" w:hRule="atLeas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序号</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硕士</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本科</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专科</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小计</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4"/>
                <w:szCs w:val="24"/>
              </w:rPr>
            </w:pPr>
            <w:r>
              <w:rPr>
                <w:rFonts w:hint="eastAsia" w:ascii="宋体" w:hAnsi="宋体" w:cs="宋体"/>
                <w:color w:val="000000"/>
                <w:sz w:val="24"/>
                <w:szCs w:val="24"/>
              </w:rPr>
              <w:t>比例</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中英国际学院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1185</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1185</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13.41%</w:t>
            </w:r>
          </w:p>
        </w:tc>
      </w:tr>
      <w:tr>
        <w:tblPrEx>
          <w:tblCellMar>
            <w:top w:w="15" w:type="dxa"/>
            <w:left w:w="15" w:type="dxa"/>
            <w:bottom w:w="15" w:type="dxa"/>
            <w:right w:w="15" w:type="dxa"/>
          </w:tblCellMar>
        </w:tblPrEx>
        <w:trPr>
          <w:trHeight w:val="592"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2</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信息科学与工程学院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756</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786</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8.90%</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3</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国际教育学院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707</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707</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8.00%</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4</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机电工程学院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613</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644</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7.29%</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5</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土木建筑学院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595</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635</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7.19%</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6</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粮油食品学院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105</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470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575</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6.51%</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7</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电气工程学院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13</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548</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561</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6.35%</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8</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管理学院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482</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543</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6.15%</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9</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经济贸易学院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38</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468</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506</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5.73%</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10</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化学化工与环境学院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29</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393</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422</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4.78%</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11</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新闻与传播学院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386</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397</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4.49%</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12</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生物工程学院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34</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336</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370</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4.19%</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13</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材料科学与工程学院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322</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332</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3.76%</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14</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设计艺术学院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271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274</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3.10%</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15</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职业技术学院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205</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205</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2.32%</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16</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理学院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3</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179</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182</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2.06%</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17</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外语学院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174</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181</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2.05%</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18</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法学院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5</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118</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123</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1.39%</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河南辅读中等职业学校联办</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110</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1.24%</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应用技术职业学院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87</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87</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0.98%</w:t>
            </w:r>
          </w:p>
        </w:tc>
      </w:tr>
      <w:tr>
        <w:tblPrEx>
          <w:tblCellMar>
            <w:top w:w="15" w:type="dxa"/>
            <w:left w:w="15" w:type="dxa"/>
            <w:bottom w:w="15" w:type="dxa"/>
            <w:right w:w="15" w:type="dxa"/>
          </w:tblCellMar>
        </w:tblPrEx>
        <w:trPr>
          <w:trHeight w:val="567" w:hRule="exact"/>
          <w:jc w:val="center"/>
        </w:trPr>
        <w:tc>
          <w:tcPr>
            <w:tcW w:w="8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21</w:t>
            </w:r>
          </w:p>
        </w:tc>
        <w:tc>
          <w:tcPr>
            <w:tcW w:w="29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马克思主义学院</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0.11%</w:t>
            </w:r>
          </w:p>
        </w:tc>
      </w:tr>
      <w:tr>
        <w:tblPrEx>
          <w:tblCellMar>
            <w:top w:w="15" w:type="dxa"/>
            <w:left w:w="15" w:type="dxa"/>
            <w:bottom w:w="15" w:type="dxa"/>
            <w:right w:w="15" w:type="dxa"/>
          </w:tblCellMar>
        </w:tblPrEx>
        <w:trPr>
          <w:trHeight w:val="567" w:hRule="exact"/>
          <w:jc w:val="center"/>
        </w:trPr>
        <w:tc>
          <w:tcPr>
            <w:tcW w:w="378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合计</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430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6905</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1500</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8835</w:t>
            </w:r>
          </w:p>
        </w:tc>
        <w:tc>
          <w:tcPr>
            <w:tcW w:w="11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4"/>
                <w:szCs w:val="24"/>
                <w:lang w:bidi="ar"/>
              </w:rPr>
            </w:pPr>
          </w:p>
        </w:tc>
      </w:tr>
    </w:tbl>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（1）本科生院系结构：</w:t>
      </w:r>
    </w:p>
    <w:p>
      <w:pPr>
        <w:rPr>
          <w:rFonts w:ascii="仿宋_GB2312" w:eastAsia="仿宋_GB2312"/>
          <w:sz w:val="32"/>
          <w:szCs w:val="32"/>
        </w:rPr>
      </w:pPr>
      <w:r>
        <w:drawing>
          <wp:inline distT="0" distB="0" distL="114300" distR="114300">
            <wp:extent cx="5269865" cy="4310380"/>
            <wp:effectExtent l="0" t="0" r="26035" b="1397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3"/>
        </w:numPr>
        <w:rPr>
          <w:rFonts w:ascii="仿宋_GB2312" w:eastAsia="仿宋_GB2312"/>
          <w:sz w:val="32"/>
          <w:szCs w:val="32"/>
        </w:rPr>
      </w:pPr>
      <w:r>
        <w:rPr>
          <w:rFonts w:hint="eastAsia" w:ascii="仿宋_GB2312" w:eastAsia="仿宋_GB2312"/>
          <w:sz w:val="32"/>
          <w:szCs w:val="32"/>
        </w:rPr>
        <w:t>硕士生院系结构：</w:t>
      </w:r>
    </w:p>
    <w:p>
      <w:pPr>
        <w:rPr>
          <w:rFonts w:ascii="黑体" w:hAnsi="黑体" w:eastAsia="黑体"/>
          <w:b/>
          <w:sz w:val="32"/>
          <w:szCs w:val="32"/>
        </w:rPr>
      </w:pPr>
      <w:bookmarkStart w:id="31" w:name="_Toc468964402"/>
      <w:r>
        <w:drawing>
          <wp:inline distT="0" distB="0" distL="114300" distR="114300">
            <wp:extent cx="5214620" cy="3682365"/>
            <wp:effectExtent l="4445" t="4445" r="19685" b="8890"/>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hint="eastAsia" w:ascii="黑体" w:hAnsi="黑体" w:eastAsia="黑体"/>
          <w:b/>
          <w:sz w:val="32"/>
          <w:szCs w:val="32"/>
        </w:rPr>
        <w:br w:type="page"/>
      </w:r>
      <w:bookmarkStart w:id="32" w:name="_Toc26564"/>
      <w:bookmarkStart w:id="33" w:name="_Toc18408"/>
      <w:bookmarkStart w:id="34" w:name="_Toc9573"/>
      <w:bookmarkStart w:id="35" w:name="_Toc20598"/>
      <w:r>
        <w:rPr>
          <w:rFonts w:hint="eastAsia" w:ascii="黑体" w:hAnsi="黑体" w:eastAsia="黑体"/>
          <w:b/>
          <w:sz w:val="32"/>
          <w:szCs w:val="32"/>
        </w:rPr>
        <w:t>三、毕业生就业情况</w:t>
      </w:r>
      <w:bookmarkEnd w:id="31"/>
      <w:bookmarkEnd w:id="32"/>
      <w:bookmarkEnd w:id="33"/>
      <w:bookmarkEnd w:id="34"/>
      <w:bookmarkEnd w:id="35"/>
    </w:p>
    <w:p>
      <w:pPr>
        <w:outlineLvl w:val="1"/>
        <w:rPr>
          <w:rFonts w:ascii="仿宋_GB2312" w:eastAsia="仿宋_GB2312"/>
          <w:sz w:val="32"/>
          <w:szCs w:val="32"/>
        </w:rPr>
      </w:pPr>
      <w:r>
        <w:rPr>
          <w:rFonts w:hint="eastAsia" w:ascii="仿宋_GB2312" w:eastAsia="仿宋_GB2312"/>
          <w:sz w:val="32"/>
          <w:szCs w:val="32"/>
        </w:rPr>
        <w:t xml:space="preserve">    </w:t>
      </w:r>
      <w:bookmarkStart w:id="36" w:name="_Toc23242"/>
      <w:bookmarkStart w:id="37" w:name="_Toc17816"/>
      <w:bookmarkStart w:id="38" w:name="_Toc24712"/>
      <w:bookmarkStart w:id="39" w:name="_Toc468964403"/>
      <w:bookmarkStart w:id="40" w:name="_Toc11244"/>
      <w:bookmarkStart w:id="41" w:name="_Toc11171"/>
      <w:bookmarkStart w:id="42" w:name="_Toc13750"/>
      <w:r>
        <w:rPr>
          <w:rFonts w:hint="eastAsia" w:ascii="仿宋_GB2312" w:eastAsia="仿宋_GB2312"/>
          <w:sz w:val="32"/>
          <w:szCs w:val="32"/>
        </w:rPr>
        <w:t>（一）总体就业情况</w:t>
      </w:r>
      <w:bookmarkEnd w:id="36"/>
      <w:bookmarkEnd w:id="37"/>
      <w:bookmarkEnd w:id="38"/>
      <w:bookmarkEnd w:id="39"/>
      <w:bookmarkEnd w:id="40"/>
      <w:bookmarkEnd w:id="41"/>
      <w:bookmarkEnd w:id="42"/>
    </w:p>
    <w:p>
      <w:pPr>
        <w:outlineLvl w:val="2"/>
        <w:rPr>
          <w:rFonts w:ascii="仿宋_GB2312" w:hAnsi="宋体" w:eastAsia="仿宋_GB2312"/>
          <w:sz w:val="32"/>
          <w:szCs w:val="32"/>
        </w:rPr>
      </w:pPr>
      <w:bookmarkStart w:id="43" w:name="_Toc15800"/>
      <w:r>
        <w:rPr>
          <w:rFonts w:hint="eastAsia" w:ascii="仿宋_GB2312" w:hAnsi="宋体" w:eastAsia="仿宋_GB2312"/>
          <w:sz w:val="32"/>
          <w:szCs w:val="32"/>
        </w:rPr>
        <w:t>1.分学历就业、升学情况</w:t>
      </w:r>
      <w:bookmarkEnd w:id="43"/>
    </w:p>
    <w:p>
      <w:pPr>
        <w:ind w:firstLine="420" w:firstLineChars="200"/>
        <w:rPr>
          <w:rFonts w:ascii="仿宋_GB2312" w:eastAsia="仿宋_GB2312"/>
          <w:sz w:val="32"/>
          <w:szCs w:val="32"/>
        </w:rPr>
      </w:pPr>
      <w:r>
        <w:drawing>
          <wp:inline distT="0" distB="0" distL="114300" distR="114300">
            <wp:extent cx="5264150" cy="2408555"/>
            <wp:effectExtent l="4445" t="4445" r="8255" b="6350"/>
            <wp:docPr id="2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outlineLvl w:val="2"/>
        <w:rPr>
          <w:rFonts w:ascii="仿宋_GB2312" w:hAnsi="宋体" w:eastAsia="仿宋_GB2312"/>
          <w:sz w:val="32"/>
          <w:szCs w:val="32"/>
        </w:rPr>
      </w:pPr>
      <w:r>
        <w:rPr>
          <w:rFonts w:hint="eastAsia" w:ascii="仿宋_GB2312" w:hAnsi="宋体" w:eastAsia="仿宋_GB2312"/>
          <w:sz w:val="32"/>
          <w:szCs w:val="32"/>
        </w:rPr>
        <w:t xml:space="preserve">   </w:t>
      </w:r>
      <w:bookmarkStart w:id="44" w:name="_Toc11066"/>
      <w:r>
        <w:rPr>
          <w:rFonts w:hint="eastAsia" w:ascii="仿宋_GB2312" w:hAnsi="宋体" w:eastAsia="仿宋_GB2312"/>
          <w:sz w:val="32"/>
          <w:szCs w:val="32"/>
        </w:rPr>
        <w:t>2.各学院就业率情况</w:t>
      </w:r>
      <w:bookmarkEnd w:id="44"/>
    </w:p>
    <w:p>
      <w:pPr>
        <w:rPr>
          <w:rFonts w:ascii="仿宋_GB2312" w:eastAsia="仿宋_GB2312"/>
          <w:sz w:val="32"/>
          <w:szCs w:val="32"/>
        </w:rPr>
      </w:pPr>
      <w:bookmarkStart w:id="45" w:name="_Toc26175713"/>
      <w:r>
        <w:drawing>
          <wp:inline distT="0" distB="0" distL="114300" distR="114300">
            <wp:extent cx="5137150" cy="4737735"/>
            <wp:effectExtent l="0" t="0" r="25400" b="24765"/>
            <wp:docPr id="2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5"/>
    </w:p>
    <w:p>
      <w:pPr>
        <w:outlineLvl w:val="1"/>
        <w:rPr>
          <w:rFonts w:ascii="仿宋_GB2312" w:eastAsia="仿宋_GB2312"/>
          <w:sz w:val="32"/>
          <w:szCs w:val="32"/>
        </w:rPr>
      </w:pPr>
      <w:bookmarkStart w:id="46" w:name="_Toc468964404"/>
      <w:bookmarkStart w:id="47" w:name="_Toc31990"/>
      <w:r>
        <w:rPr>
          <w:rFonts w:hint="eastAsia" w:ascii="仿宋_GB2312" w:eastAsia="仿宋_GB2312"/>
          <w:sz w:val="32"/>
          <w:szCs w:val="32"/>
        </w:rPr>
        <w:t>（二）</w:t>
      </w:r>
      <w:r>
        <w:rPr>
          <w:rFonts w:hint="eastAsia" w:ascii="仿宋_GB2312" w:eastAsia="仿宋_GB2312"/>
          <w:b/>
          <w:sz w:val="32"/>
          <w:szCs w:val="32"/>
        </w:rPr>
        <w:t>分性别就业情况</w:t>
      </w:r>
      <w:bookmarkEnd w:id="46"/>
      <w:bookmarkEnd w:id="47"/>
    </w:p>
    <w:p>
      <w:pPr>
        <w:rPr>
          <w:rFonts w:ascii="仿宋_GB2312" w:eastAsia="仿宋_GB2312"/>
          <w:sz w:val="32"/>
          <w:szCs w:val="32"/>
        </w:rPr>
      </w:pPr>
      <w:r>
        <w:rPr>
          <w:rFonts w:hint="eastAsia" w:ascii="仿宋_GB2312" w:eastAsia="仿宋_GB2312"/>
          <w:sz w:val="32"/>
          <w:szCs w:val="32"/>
        </w:rPr>
        <w:t>1.各学历层次分性别就业率情况</w:t>
      </w:r>
    </w:p>
    <w:tbl>
      <w:tblPr>
        <w:tblStyle w:val="19"/>
        <w:tblpPr w:leftFromText="180" w:rightFromText="180" w:vertAnchor="text" w:horzAnchor="page" w:tblpX="1782" w:tblpY="422"/>
        <w:tblOverlap w:val="never"/>
        <w:tblW w:w="8060" w:type="dxa"/>
        <w:tblInd w:w="0" w:type="dxa"/>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fixed"/>
        <w:tblCellMar>
          <w:top w:w="15" w:type="dxa"/>
          <w:left w:w="15" w:type="dxa"/>
          <w:bottom w:w="15" w:type="dxa"/>
          <w:right w:w="15" w:type="dxa"/>
        </w:tblCellMar>
      </w:tblPr>
      <w:tblGrid>
        <w:gridCol w:w="1612"/>
        <w:gridCol w:w="1612"/>
        <w:gridCol w:w="1612"/>
        <w:gridCol w:w="1612"/>
        <w:gridCol w:w="1612"/>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33" w:hRule="atLeast"/>
        </w:trPr>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bookmarkStart w:id="48" w:name="_Toc468964405"/>
            <w:r>
              <w:rPr>
                <w:rFonts w:hint="eastAsia" w:ascii="仿宋" w:hAnsi="仿宋" w:eastAsia="仿宋" w:cs="仿宋"/>
                <w:color w:val="000000"/>
                <w:kern w:val="0"/>
                <w:sz w:val="24"/>
                <w:szCs w:val="24"/>
                <w:lang w:bidi="ar"/>
              </w:rPr>
              <w:t>性别</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硕士生毕业</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本科生毕业</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专科生毕业</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合计</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33" w:hRule="atLeast"/>
        </w:trPr>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男</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87.10%</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90.11%</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71.78%</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86.43%</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33" w:hRule="atLeast"/>
        </w:trPr>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女</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89.20%</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87.41%</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82.90%</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86.87%</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15" w:type="dxa"/>
            <w:left w:w="15" w:type="dxa"/>
            <w:bottom w:w="15" w:type="dxa"/>
            <w:right w:w="15" w:type="dxa"/>
          </w:tblCellMar>
        </w:tblPrEx>
        <w:trPr>
          <w:trHeight w:val="568" w:hRule="atLeast"/>
        </w:trPr>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合计</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88.14%</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88.96%</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75.47%</w:t>
            </w:r>
          </w:p>
        </w:tc>
        <w:tc>
          <w:tcPr>
            <w:tcW w:w="161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86.63%</w:t>
            </w:r>
          </w:p>
        </w:tc>
      </w:tr>
      <w:bookmarkEnd w:id="48"/>
    </w:tbl>
    <w:p>
      <w:pPr>
        <w:rPr>
          <w:rFonts w:ascii="仿宋_GB2312" w:eastAsia="仿宋_GB2312"/>
          <w:sz w:val="32"/>
          <w:szCs w:val="32"/>
        </w:rPr>
      </w:pPr>
    </w:p>
    <w:p>
      <w:pPr>
        <w:jc w:val="left"/>
        <w:outlineLvl w:val="1"/>
        <w:rPr>
          <w:rFonts w:ascii="仿宋_GB2312" w:eastAsia="仿宋_GB2312"/>
          <w:b/>
          <w:bCs/>
          <w:sz w:val="32"/>
          <w:szCs w:val="32"/>
        </w:rPr>
      </w:pPr>
      <w:bookmarkStart w:id="49" w:name="_Toc28711"/>
      <w:bookmarkStart w:id="50" w:name="_Toc19742"/>
      <w:bookmarkStart w:id="51" w:name="_Toc29718"/>
      <w:bookmarkStart w:id="52" w:name="_Toc32400"/>
      <w:bookmarkStart w:id="53" w:name="_Toc25864"/>
      <w:bookmarkStart w:id="54" w:name="_Toc17152"/>
      <w:bookmarkStart w:id="55" w:name="_Toc10098"/>
      <w:bookmarkStart w:id="56" w:name="_Toc468964406"/>
      <w:r>
        <w:rPr>
          <w:rFonts w:hint="eastAsia" w:ascii="仿宋_GB2312" w:eastAsia="仿宋_GB2312"/>
          <w:b/>
          <w:bCs/>
          <w:sz w:val="32"/>
          <w:szCs w:val="32"/>
        </w:rPr>
        <w:t>（三）本科生升学情况</w:t>
      </w:r>
      <w:bookmarkEnd w:id="49"/>
      <w:bookmarkEnd w:id="50"/>
      <w:bookmarkEnd w:id="51"/>
      <w:bookmarkEnd w:id="52"/>
      <w:bookmarkEnd w:id="53"/>
      <w:bookmarkEnd w:id="54"/>
      <w:bookmarkEnd w:id="55"/>
    </w:p>
    <w:p>
      <w:pPr>
        <w:outlineLvl w:val="2"/>
        <w:rPr>
          <w:rFonts w:ascii="仿宋_GB2312" w:hAnsi="宋体" w:eastAsia="仿宋_GB2312"/>
          <w:sz w:val="32"/>
          <w:szCs w:val="32"/>
        </w:rPr>
      </w:pPr>
      <w:bookmarkStart w:id="57" w:name="_Toc32287"/>
      <w:bookmarkStart w:id="58" w:name="_Toc30681"/>
      <w:r>
        <w:rPr>
          <w:rFonts w:hint="eastAsia" w:ascii="仿宋_GB2312" w:hAnsi="宋体" w:eastAsia="仿宋_GB2312"/>
          <w:sz w:val="32"/>
          <w:szCs w:val="32"/>
        </w:rPr>
        <w:t>1.各学院本科生升学率情况</w:t>
      </w:r>
      <w:bookmarkEnd w:id="57"/>
      <w:bookmarkEnd w:id="58"/>
    </w:p>
    <w:p>
      <w:pPr>
        <w:rPr>
          <w:rFonts w:ascii="仿宋_GB2312" w:eastAsia="仿宋_GB2312"/>
          <w:sz w:val="32"/>
          <w:szCs w:val="32"/>
        </w:rPr>
      </w:pPr>
      <w:bookmarkStart w:id="59" w:name="_Toc26175717"/>
      <w:bookmarkStart w:id="60" w:name="_Toc26192445"/>
      <w:r>
        <w:drawing>
          <wp:inline distT="0" distB="0" distL="114300" distR="114300">
            <wp:extent cx="5271770" cy="4166235"/>
            <wp:effectExtent l="5080" t="4445" r="19050" b="20320"/>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59"/>
      <w:bookmarkEnd w:id="60"/>
    </w:p>
    <w:p>
      <w:pPr>
        <w:ind w:firstLine="640" w:firstLineChars="200"/>
        <w:rPr>
          <w:rFonts w:ascii="仿宋_GB2312" w:eastAsia="仿宋_GB2312"/>
          <w:sz w:val="32"/>
          <w:szCs w:val="32"/>
        </w:rPr>
      </w:pPr>
      <w:r>
        <w:rPr>
          <w:rFonts w:hint="eastAsia" w:ascii="仿宋_GB2312" w:eastAsia="仿宋_GB2312"/>
          <w:sz w:val="32"/>
          <w:szCs w:val="32"/>
        </w:rPr>
        <w:t>各学院毕业生考研率有较大差异，理工科学院考研率普遍高于文科学院。</w:t>
      </w:r>
    </w:p>
    <w:p>
      <w:pPr>
        <w:outlineLvl w:val="2"/>
        <w:rPr>
          <w:rFonts w:ascii="仿宋_GB2312" w:eastAsia="仿宋_GB2312"/>
          <w:sz w:val="32"/>
          <w:szCs w:val="32"/>
        </w:rPr>
      </w:pPr>
      <w:bookmarkStart w:id="61" w:name="_Toc11686"/>
      <w:bookmarkStart w:id="62" w:name="_Toc10141"/>
      <w:r>
        <w:rPr>
          <w:rFonts w:hint="eastAsia" w:ascii="仿宋_GB2312" w:eastAsia="仿宋_GB2312"/>
          <w:sz w:val="32"/>
          <w:szCs w:val="32"/>
        </w:rPr>
        <w:t>2.本科生国内升学院校层次</w:t>
      </w:r>
      <w:bookmarkEnd w:id="61"/>
      <w:bookmarkEnd w:id="62"/>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考取985高校为1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27</w:t>
      </w:r>
      <w:r>
        <w:rPr>
          <w:rFonts w:hint="eastAsia" w:ascii="仿宋_GB2312" w:eastAsia="仿宋_GB2312"/>
          <w:color w:val="000000" w:themeColor="text1"/>
          <w:sz w:val="32"/>
          <w:szCs w:val="32"/>
          <w14:textFill>
            <w14:solidFill>
              <w14:schemeClr w14:val="tx1"/>
            </w14:solidFill>
          </w14:textFill>
        </w:rPr>
        <w:t>%，与去年基本持平，考取211高校为3</w:t>
      </w:r>
      <w:r>
        <w:rPr>
          <w:rFonts w:ascii="仿宋_GB2312" w:eastAsia="仿宋_GB2312"/>
          <w:color w:val="000000" w:themeColor="text1"/>
          <w:sz w:val="32"/>
          <w:szCs w:val="32"/>
          <w14:textFill>
            <w14:solidFill>
              <w14:schemeClr w14:val="tx1"/>
            </w14:solidFill>
          </w14:textFill>
        </w:rPr>
        <w:t>8.19</w:t>
      </w:r>
      <w:r>
        <w:rPr>
          <w:rFonts w:hint="eastAsia" w:ascii="仿宋_GB2312" w:eastAsia="仿宋_GB2312"/>
          <w:color w:val="000000" w:themeColor="text1"/>
          <w:sz w:val="32"/>
          <w:szCs w:val="32"/>
          <w14:textFill>
            <w14:solidFill>
              <w14:schemeClr w14:val="tx1"/>
            </w14:solidFill>
          </w14:textFill>
        </w:rPr>
        <w:t>%，较去年提高了1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个百分点；考取本校研究生的比例为1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92</w:t>
      </w:r>
      <w:r>
        <w:rPr>
          <w:rFonts w:hint="eastAsia" w:ascii="仿宋_GB2312" w:eastAsia="仿宋_GB2312"/>
          <w:color w:val="000000" w:themeColor="text1"/>
          <w:sz w:val="32"/>
          <w:szCs w:val="32"/>
          <w14:textFill>
            <w14:solidFill>
              <w14:schemeClr w14:val="tx1"/>
            </w14:solidFill>
          </w14:textFill>
        </w:rPr>
        <w:t>%，比去年下降了</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个百分点；考取其他高校3</w:t>
      </w:r>
      <w:r>
        <w:rPr>
          <w:rFonts w:ascii="仿宋_GB2312" w:eastAsia="仿宋_GB2312"/>
          <w:color w:val="000000" w:themeColor="text1"/>
          <w:sz w:val="32"/>
          <w:szCs w:val="32"/>
          <w14:textFill>
            <w14:solidFill>
              <w14:schemeClr w14:val="tx1"/>
            </w14:solidFill>
          </w14:textFill>
        </w:rPr>
        <w:t>6.61</w:t>
      </w:r>
      <w:r>
        <w:rPr>
          <w:rFonts w:hint="eastAsia" w:ascii="仿宋_GB2312" w:eastAsia="仿宋_GB2312"/>
          <w:color w:val="000000" w:themeColor="text1"/>
          <w:sz w:val="32"/>
          <w:szCs w:val="32"/>
          <w14:textFill>
            <w14:solidFill>
              <w14:schemeClr w14:val="tx1"/>
            </w14:solidFill>
          </w14:textFill>
        </w:rPr>
        <w:t>%，比去年提高了</w:t>
      </w:r>
      <w:r>
        <w:rPr>
          <w:rFonts w:ascii="仿宋_GB2312" w:eastAsia="仿宋_GB2312"/>
          <w:color w:val="000000" w:themeColor="text1"/>
          <w:sz w:val="32"/>
          <w:szCs w:val="32"/>
          <w14:textFill>
            <w14:solidFill>
              <w14:schemeClr w14:val="tx1"/>
            </w14:solidFill>
          </w14:textFill>
        </w:rPr>
        <w:t>2.8</w:t>
      </w:r>
      <w:r>
        <w:rPr>
          <w:rFonts w:hint="eastAsia" w:ascii="仿宋_GB2312" w:eastAsia="仿宋_GB2312"/>
          <w:color w:val="000000" w:themeColor="text1"/>
          <w:sz w:val="32"/>
          <w:szCs w:val="32"/>
          <w14:textFill>
            <w14:solidFill>
              <w14:schemeClr w14:val="tx1"/>
            </w14:solidFill>
          </w14:textFill>
        </w:rPr>
        <w:t>个百分点。</w:t>
      </w:r>
    </w:p>
    <w:p>
      <w:pPr>
        <w:ind w:firstLine="420" w:firstLineChars="200"/>
        <w:rPr>
          <w:rFonts w:ascii="仿宋_GB2312" w:eastAsia="仿宋_GB2312"/>
          <w:sz w:val="32"/>
          <w:szCs w:val="32"/>
        </w:rPr>
      </w:pPr>
      <w:r>
        <w:drawing>
          <wp:inline distT="0" distB="0" distL="0" distR="0">
            <wp:extent cx="5274310" cy="3867785"/>
            <wp:effectExtent l="0" t="0" r="254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outlineLvl w:val="2"/>
        <w:rPr>
          <w:rFonts w:ascii="仿宋_GB2312" w:eastAsia="仿宋_GB2312"/>
          <w:sz w:val="32"/>
          <w:szCs w:val="32"/>
        </w:rPr>
      </w:pPr>
      <w:bookmarkStart w:id="63" w:name="_Toc4999"/>
      <w:bookmarkStart w:id="64" w:name="_Toc4692"/>
      <w:r>
        <w:rPr>
          <w:rFonts w:hint="eastAsia" w:ascii="仿宋_GB2312" w:eastAsia="仿宋_GB2312"/>
          <w:sz w:val="32"/>
          <w:szCs w:val="32"/>
        </w:rPr>
        <w:t>3.各学院本科毕业生升学院校情况</w:t>
      </w:r>
      <w:bookmarkEnd w:id="63"/>
      <w:bookmarkEnd w:id="64"/>
    </w:p>
    <w:tbl>
      <w:tblPr>
        <w:tblStyle w:val="19"/>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81"/>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985高校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211高校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本校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其他高校</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b/>
                <w:color w:val="000000"/>
                <w:kern w:val="0"/>
                <w:sz w:val="24"/>
                <w:szCs w:val="24"/>
                <w:lang w:bidi="ar"/>
              </w:rPr>
            </w:pPr>
            <w:r>
              <w:rPr>
                <w:rFonts w:hint="eastAsia" w:ascii="仿宋" w:hAnsi="仿宋" w:eastAsia="仿宋" w:cs="仿宋"/>
                <w:b/>
                <w:color w:val="000000"/>
                <w:kern w:val="0"/>
                <w:sz w:val="24"/>
                <w:szCs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2"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粮油食品学院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机电工程学院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土木建筑学院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信息科学与工程学院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化学化工</w:t>
            </w:r>
            <w:r>
              <w:rPr>
                <w:rFonts w:hint="eastAsia" w:ascii="仿宋" w:hAnsi="仿宋" w:eastAsia="仿宋" w:cs="仿宋"/>
                <w:color w:val="auto"/>
                <w:kern w:val="0"/>
                <w:sz w:val="24"/>
                <w:szCs w:val="24"/>
                <w:lang w:bidi="ar"/>
              </w:rPr>
              <w:t>与环境</w:t>
            </w:r>
            <w:r>
              <w:rPr>
                <w:rFonts w:hint="eastAsia" w:ascii="仿宋" w:hAnsi="仿宋" w:eastAsia="仿宋" w:cs="仿宋"/>
                <w:color w:val="000000"/>
                <w:kern w:val="0"/>
                <w:sz w:val="24"/>
                <w:szCs w:val="24"/>
                <w:lang w:bidi="ar"/>
              </w:rPr>
              <w:t>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生物工程学院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材料科学与工程学院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电气工程学院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管理学院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经济贸易学院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理学院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color w:val="000000"/>
                <w:kern w:val="0"/>
                <w:sz w:val="24"/>
                <w:szCs w:val="24"/>
                <w:lang w:bidi="ar"/>
              </w:rPr>
            </w:pP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外语学院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法学院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新闻与传播学院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12</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设计艺术学院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国际教育学院</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31</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38</w:t>
            </w:r>
          </w:p>
        </w:tc>
        <w:tc>
          <w:tcPr>
            <w:tcW w:w="10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4"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应用技术职业学院</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7" w:hRule="atLeast"/>
          <w:jc w:val="center"/>
        </w:trPr>
        <w:tc>
          <w:tcPr>
            <w:tcW w:w="24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总计</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170</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529</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179</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507</w:t>
            </w:r>
          </w:p>
        </w:tc>
        <w:tc>
          <w:tcPr>
            <w:tcW w:w="1095" w:type="dxa"/>
            <w:tcBorders>
              <w:top w:val="single" w:color="000000" w:sz="8" w:space="0"/>
              <w:left w:val="single" w:color="000000" w:sz="8" w:space="0"/>
              <w:bottom w:val="single" w:color="000000" w:sz="8" w:space="0"/>
              <w:right w:val="single" w:color="000000" w:sz="8" w:space="0"/>
            </w:tcBorders>
            <w:shd w:val="clear" w:color="DDEBF7" w:fill="FFFFFF"/>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1385</w:t>
            </w:r>
          </w:p>
        </w:tc>
      </w:tr>
      <w:bookmarkEnd w:id="56"/>
    </w:tbl>
    <w:p>
      <w:pPr>
        <w:jc w:val="left"/>
        <w:outlineLvl w:val="1"/>
        <w:rPr>
          <w:rFonts w:ascii="仿宋_GB2312" w:eastAsia="仿宋_GB2312"/>
          <w:sz w:val="32"/>
          <w:szCs w:val="32"/>
        </w:rPr>
      </w:pPr>
      <w:r>
        <w:rPr>
          <w:rFonts w:hint="eastAsia" w:ascii="仿宋_GB2312" w:eastAsia="仿宋_GB2312"/>
          <w:sz w:val="32"/>
          <w:szCs w:val="32"/>
        </w:rPr>
        <w:t xml:space="preserve"> </w:t>
      </w:r>
      <w:bookmarkStart w:id="65" w:name="_Toc22657"/>
      <w:bookmarkStart w:id="66" w:name="_Toc1674"/>
      <w:bookmarkStart w:id="67" w:name="_Toc32051"/>
      <w:bookmarkStart w:id="68" w:name="_Toc13124"/>
      <w:bookmarkStart w:id="69" w:name="_Toc17851"/>
      <w:bookmarkStart w:id="70" w:name="_Toc16955"/>
      <w:bookmarkStart w:id="71" w:name="_Toc24274"/>
      <w:bookmarkStart w:id="72" w:name="_Toc24541"/>
      <w:bookmarkStart w:id="73" w:name="_Toc3847"/>
      <w:r>
        <w:rPr>
          <w:rFonts w:hint="eastAsia" w:ascii="仿宋_GB2312" w:eastAsia="仿宋_GB2312"/>
          <w:sz w:val="32"/>
          <w:szCs w:val="32"/>
        </w:rPr>
        <w:t>（四）就业单位流向</w:t>
      </w:r>
      <w:bookmarkEnd w:id="65"/>
      <w:bookmarkEnd w:id="66"/>
      <w:bookmarkEnd w:id="67"/>
      <w:bookmarkEnd w:id="68"/>
      <w:bookmarkEnd w:id="69"/>
      <w:bookmarkEnd w:id="70"/>
      <w:bookmarkEnd w:id="71"/>
      <w:bookmarkEnd w:id="72"/>
    </w:p>
    <w:p>
      <w:pPr>
        <w:outlineLvl w:val="2"/>
        <w:rPr>
          <w:rFonts w:ascii="仿宋_GB2312" w:hAnsi="宋体" w:eastAsia="仿宋_GB2312"/>
          <w:sz w:val="32"/>
          <w:szCs w:val="32"/>
        </w:rPr>
      </w:pPr>
      <w:bookmarkStart w:id="74" w:name="_Toc29318"/>
      <w:r>
        <w:rPr>
          <w:rFonts w:hint="eastAsia" w:ascii="仿宋_GB2312" w:hAnsi="宋体" w:eastAsia="仿宋_GB2312"/>
          <w:sz w:val="32"/>
          <w:szCs w:val="32"/>
        </w:rPr>
        <w:t>1.总体流向</w:t>
      </w:r>
      <w:bookmarkEnd w:id="73"/>
      <w:bookmarkEnd w:id="74"/>
    </w:p>
    <w:tbl>
      <w:tblPr>
        <w:tblStyle w:val="19"/>
        <w:tblW w:w="820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15" w:type="dxa"/>
          <w:left w:w="15" w:type="dxa"/>
          <w:bottom w:w="15" w:type="dxa"/>
          <w:right w:w="15" w:type="dxa"/>
        </w:tblCellMar>
      </w:tblPr>
      <w:tblGrid>
        <w:gridCol w:w="1403"/>
        <w:gridCol w:w="1003"/>
        <w:gridCol w:w="1262"/>
        <w:gridCol w:w="811"/>
        <w:gridCol w:w="1454"/>
        <w:gridCol w:w="1133"/>
        <w:gridCol w:w="113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6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毕业去向</w:t>
            </w:r>
          </w:p>
        </w:tc>
        <w:tc>
          <w:tcPr>
            <w:tcW w:w="226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硕士生毕业</w:t>
            </w:r>
          </w:p>
        </w:tc>
        <w:tc>
          <w:tcPr>
            <w:tcW w:w="226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本科生毕业</w:t>
            </w:r>
          </w:p>
        </w:tc>
        <w:tc>
          <w:tcPr>
            <w:tcW w:w="226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专科生毕业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宋体" w:hAnsi="宋体" w:cs="宋体"/>
                <w:color w:val="000000"/>
                <w:sz w:val="24"/>
                <w:szCs w:val="24"/>
              </w:rPr>
            </w:pP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人数</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比例</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人数</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比例</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人数</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比例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Cs w:val="21"/>
                <w:lang w:bidi="ar"/>
              </w:rPr>
              <w:t>深造</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29</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6.74%</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1523</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22.06%</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478</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31.87%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0"/>
                <w:lang w:bidi="ar"/>
              </w:rPr>
              <w:t>国内</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27</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6.27%</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1385</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22.06%</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478</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31.87%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0"/>
                <w:lang w:bidi="ar"/>
              </w:rPr>
              <w:t>出国（境）</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2</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0.47%</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138</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2.00%</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宋体" w:hAnsi="宋体" w:cs="宋体"/>
                <w:color w:val="000000"/>
                <w:sz w:val="28"/>
                <w:szCs w:val="28"/>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Cs w:val="21"/>
                <w:lang w:bidi="ar"/>
              </w:rPr>
              <w:t>就业</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350</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81.40%</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4620</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66.91%</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654</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43.60%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90"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0"/>
                <w:lang w:bidi="ar"/>
              </w:rPr>
              <w:t>签三方就业</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334</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77.67%</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4334</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62.77%</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652</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43.46%</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0"/>
                <w:lang w:bidi="ar"/>
              </w:rPr>
              <w:t>灵活就业</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16</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3.72%</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244</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3.53%</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宋体" w:hAnsi="宋体" w:cs="宋体"/>
                <w:color w:val="000000"/>
                <w:sz w:val="28"/>
                <w:szCs w:val="28"/>
              </w:rPr>
            </w:pP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0"/>
                <w:lang w:bidi="ar"/>
              </w:rPr>
              <w:t>自主创业</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宋体" w:hAnsi="宋体" w:cs="宋体"/>
                <w:color w:val="000000"/>
                <w:sz w:val="28"/>
                <w:szCs w:val="28"/>
              </w:rPr>
            </w:pP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jc w:val="center"/>
              <w:rPr>
                <w:rFonts w:ascii="宋体" w:hAnsi="宋体" w:cs="宋体"/>
                <w:color w:val="000000"/>
                <w:sz w:val="28"/>
                <w:szCs w:val="28"/>
              </w:rPr>
            </w:pP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42</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0.60%</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2</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0"/>
                <w:lang w:bidi="ar"/>
              </w:rPr>
              <w:t>0.13%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Cs w:val="21"/>
                <w:lang w:bidi="ar"/>
              </w:rPr>
              <w:t>未就业</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51</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11.86%</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762</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11.04%</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368</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24.53%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373"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 w:val="20"/>
                <w:lang w:bidi="ar"/>
              </w:rPr>
              <w:t>合计</w:t>
            </w:r>
          </w:p>
        </w:tc>
        <w:tc>
          <w:tcPr>
            <w:tcW w:w="10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430</w:t>
            </w:r>
          </w:p>
        </w:tc>
        <w:tc>
          <w:tcPr>
            <w:tcW w:w="12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100.00%</w:t>
            </w:r>
          </w:p>
        </w:tc>
        <w:tc>
          <w:tcPr>
            <w:tcW w:w="811"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6905</w:t>
            </w:r>
          </w:p>
        </w:tc>
        <w:tc>
          <w:tcPr>
            <w:tcW w:w="145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100.00%</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1500</w:t>
            </w:r>
          </w:p>
        </w:tc>
        <w:tc>
          <w:tcPr>
            <w:tcW w:w="1134"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0"/>
                <w:lang w:bidi="ar"/>
              </w:rPr>
              <w:t>100.00%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90" w:hRule="atLeast"/>
        </w:trPr>
        <w:tc>
          <w:tcPr>
            <w:tcW w:w="1403"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left"/>
              <w:textAlignment w:val="center"/>
              <w:rPr>
                <w:rFonts w:ascii="宋体" w:hAnsi="宋体" w:cs="宋体"/>
                <w:b/>
                <w:color w:val="000000"/>
                <w:sz w:val="24"/>
                <w:szCs w:val="24"/>
              </w:rPr>
            </w:pPr>
            <w:r>
              <w:rPr>
                <w:rFonts w:hint="eastAsia" w:ascii="宋体" w:hAnsi="宋体" w:cs="宋体"/>
                <w:b/>
                <w:color w:val="000000"/>
                <w:kern w:val="0"/>
                <w:szCs w:val="21"/>
                <w:lang w:bidi="ar"/>
              </w:rPr>
              <w:t>就业率</w:t>
            </w:r>
          </w:p>
        </w:tc>
        <w:tc>
          <w:tcPr>
            <w:tcW w:w="226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0"/>
                <w:lang w:bidi="ar"/>
              </w:rPr>
              <w:t>88.14%</w:t>
            </w:r>
          </w:p>
        </w:tc>
        <w:tc>
          <w:tcPr>
            <w:tcW w:w="226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0"/>
                <w:lang w:bidi="ar"/>
              </w:rPr>
              <w:t>88.96%</w:t>
            </w:r>
          </w:p>
        </w:tc>
        <w:tc>
          <w:tcPr>
            <w:tcW w:w="2267"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0"/>
                <w:lang w:bidi="ar"/>
              </w:rPr>
              <w:t>75.47%</w:t>
            </w:r>
          </w:p>
        </w:tc>
      </w:tr>
    </w:tbl>
    <w:p>
      <w:pPr>
        <w:rPr>
          <w:rFonts w:ascii="仿宋_GB2312" w:eastAsia="仿宋_GB2312"/>
          <w:sz w:val="32"/>
          <w:szCs w:val="32"/>
        </w:rPr>
      </w:pPr>
      <w:r>
        <w:rPr>
          <w:rFonts w:hint="eastAsia" w:ascii="仿宋_GB2312" w:eastAsia="仿宋_GB2312"/>
          <w:sz w:val="32"/>
          <w:szCs w:val="32"/>
        </w:rPr>
        <w:t xml:space="preserve">    注：签三方就业包括签订三方协议和正式的劳动合同，灵活就业包括与用人单位签订接收函、接收证明等材料，与用人单位为项目合作约定，到小微企业就业但未签订正式就业材料等，自主创业指毕业生在毕业前已注册公司，有营业执照。</w:t>
      </w:r>
    </w:p>
    <w:p>
      <w:pPr>
        <w:outlineLvl w:val="2"/>
        <w:rPr>
          <w:rFonts w:ascii="仿宋_GB2312" w:hAnsi="宋体" w:eastAsia="仿宋_GB2312"/>
          <w:sz w:val="32"/>
          <w:szCs w:val="32"/>
        </w:rPr>
      </w:pPr>
      <w:bookmarkStart w:id="75" w:name="_Toc32673"/>
      <w:bookmarkStart w:id="76" w:name="_Toc21538"/>
      <w:r>
        <w:rPr>
          <w:rFonts w:hint="eastAsia" w:ascii="仿宋_GB2312" w:hAnsi="宋体" w:eastAsia="仿宋_GB2312"/>
          <w:sz w:val="32"/>
          <w:szCs w:val="32"/>
        </w:rPr>
        <w:t>2.单位性质分布</w:t>
      </w:r>
      <w:bookmarkEnd w:id="75"/>
      <w:bookmarkEnd w:id="76"/>
    </w:p>
    <w:tbl>
      <w:tblPr>
        <w:tblStyle w:val="19"/>
        <w:tblW w:w="845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15" w:type="dxa"/>
          <w:left w:w="15" w:type="dxa"/>
          <w:bottom w:w="15" w:type="dxa"/>
          <w:right w:w="15" w:type="dxa"/>
        </w:tblCellMar>
      </w:tblPr>
      <w:tblGrid>
        <w:gridCol w:w="1716"/>
        <w:gridCol w:w="960"/>
        <w:gridCol w:w="1326"/>
        <w:gridCol w:w="818"/>
        <w:gridCol w:w="1467"/>
        <w:gridCol w:w="1085"/>
        <w:gridCol w:w="108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vMerge w:val="restart"/>
            <w:tcBorders>
              <w:top w:val="single" w:color="FFFFFF" w:sz="8" w:space="0"/>
              <w:left w:val="single" w:color="FFFFFF" w:sz="8" w:space="0"/>
              <w:right w:val="single" w:color="FFFFFF" w:sz="8" w:space="0"/>
            </w:tcBorders>
            <w:shd w:val="clear" w:color="auto" w:fill="4BACC6"/>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单位性质</w:t>
            </w:r>
          </w:p>
        </w:tc>
        <w:tc>
          <w:tcPr>
            <w:tcW w:w="2286" w:type="dxa"/>
            <w:gridSpan w:val="2"/>
            <w:tcBorders>
              <w:top w:val="single" w:color="FFFFFF" w:sz="8" w:space="0"/>
              <w:left w:val="single" w:color="FFFFFF" w:sz="8" w:space="0"/>
              <w:bottom w:val="single" w:color="FFFFFF" w:sz="18" w:space="0"/>
              <w:right w:val="single" w:color="FFFFFF" w:sz="8" w:space="0"/>
            </w:tcBorders>
            <w:shd w:val="clear" w:color="auto" w:fill="4BACC6"/>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硕士生毕业</w:t>
            </w:r>
          </w:p>
        </w:tc>
        <w:tc>
          <w:tcPr>
            <w:tcW w:w="2285" w:type="dxa"/>
            <w:gridSpan w:val="2"/>
            <w:tcBorders>
              <w:top w:val="single" w:color="FFFFFF" w:sz="8" w:space="0"/>
              <w:left w:val="single" w:color="FFFFFF" w:sz="8" w:space="0"/>
              <w:bottom w:val="single" w:color="FFFFFF" w:sz="18" w:space="0"/>
              <w:right w:val="single" w:color="FFFFFF" w:sz="8" w:space="0"/>
            </w:tcBorders>
            <w:shd w:val="clear" w:color="auto" w:fill="4BACC6"/>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本科生毕业</w:t>
            </w:r>
          </w:p>
        </w:tc>
        <w:tc>
          <w:tcPr>
            <w:tcW w:w="2171" w:type="dxa"/>
            <w:gridSpan w:val="2"/>
            <w:tcBorders>
              <w:top w:val="single" w:color="FFFFFF" w:sz="8" w:space="0"/>
              <w:left w:val="single" w:color="FFFFFF" w:sz="8" w:space="0"/>
              <w:bottom w:val="single" w:color="FFFFFF" w:sz="18" w:space="0"/>
              <w:right w:val="single" w:color="FFFFFF" w:sz="8" w:space="0"/>
            </w:tcBorders>
            <w:shd w:val="clear" w:color="auto" w:fill="4BACC6"/>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专科生毕业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32" w:hRule="atLeast"/>
        </w:trPr>
        <w:tc>
          <w:tcPr>
            <w:tcW w:w="1716" w:type="dxa"/>
            <w:vMerge w:val="continue"/>
            <w:tcBorders>
              <w:left w:val="single" w:color="FFFFFF" w:sz="8" w:space="0"/>
              <w:bottom w:val="single" w:color="FFFFFF" w:sz="8" w:space="0"/>
              <w:right w:val="single" w:color="FFFFFF" w:sz="8" w:space="0"/>
            </w:tcBorders>
            <w:shd w:val="clear" w:color="auto" w:fill="D0E3EA"/>
            <w:vAlign w:val="center"/>
          </w:tcPr>
          <w:p>
            <w:pPr>
              <w:jc w:val="center"/>
              <w:rPr>
                <w:rFonts w:ascii="宋体" w:hAnsi="宋体" w:cs="宋体"/>
                <w:b/>
                <w:bCs/>
                <w:color w:val="000000"/>
                <w:sz w:val="24"/>
                <w:szCs w:val="24"/>
              </w:rPr>
            </w:pPr>
          </w:p>
        </w:tc>
        <w:tc>
          <w:tcPr>
            <w:tcW w:w="960" w:type="dxa"/>
            <w:tcBorders>
              <w:top w:val="single" w:color="FFFFFF" w:sz="18" w:space="0"/>
              <w:left w:val="single" w:color="FFFFFF" w:sz="8" w:space="0"/>
              <w:bottom w:val="single" w:color="FFFFFF" w:sz="8" w:space="0"/>
              <w:right w:val="single" w:color="FFFFFF" w:sz="8" w:space="0"/>
            </w:tcBorders>
            <w:shd w:val="clear" w:color="auto" w:fill="4BACC6" w:themeFill="accent5"/>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人数</w:t>
            </w:r>
          </w:p>
        </w:tc>
        <w:tc>
          <w:tcPr>
            <w:tcW w:w="1326" w:type="dxa"/>
            <w:tcBorders>
              <w:top w:val="single" w:color="FFFFFF" w:sz="18" w:space="0"/>
              <w:left w:val="single" w:color="FFFFFF" w:sz="8" w:space="0"/>
              <w:bottom w:val="single" w:color="FFFFFF" w:sz="8" w:space="0"/>
              <w:right w:val="single" w:color="FFFFFF" w:sz="8" w:space="0"/>
            </w:tcBorders>
            <w:shd w:val="clear" w:color="auto" w:fill="4BACC6" w:themeFill="accent5"/>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比例</w:t>
            </w:r>
          </w:p>
        </w:tc>
        <w:tc>
          <w:tcPr>
            <w:tcW w:w="818" w:type="dxa"/>
            <w:tcBorders>
              <w:top w:val="single" w:color="FFFFFF" w:sz="18" w:space="0"/>
              <w:left w:val="single" w:color="FFFFFF" w:sz="8" w:space="0"/>
              <w:bottom w:val="single" w:color="FFFFFF" w:sz="8" w:space="0"/>
              <w:right w:val="single" w:color="FFFFFF" w:sz="8" w:space="0"/>
            </w:tcBorders>
            <w:shd w:val="clear" w:color="auto" w:fill="4BACC6" w:themeFill="accent5"/>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人数</w:t>
            </w:r>
          </w:p>
        </w:tc>
        <w:tc>
          <w:tcPr>
            <w:tcW w:w="1467" w:type="dxa"/>
            <w:tcBorders>
              <w:top w:val="single" w:color="FFFFFF" w:sz="18" w:space="0"/>
              <w:left w:val="single" w:color="FFFFFF" w:sz="8" w:space="0"/>
              <w:bottom w:val="single" w:color="FFFFFF" w:sz="8" w:space="0"/>
              <w:right w:val="single" w:color="FFFFFF" w:sz="8" w:space="0"/>
            </w:tcBorders>
            <w:shd w:val="clear" w:color="auto" w:fill="4BACC6" w:themeFill="accent5"/>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比例</w:t>
            </w:r>
          </w:p>
        </w:tc>
        <w:tc>
          <w:tcPr>
            <w:tcW w:w="1085" w:type="dxa"/>
            <w:tcBorders>
              <w:top w:val="single" w:color="FFFFFF" w:sz="18" w:space="0"/>
              <w:left w:val="single" w:color="FFFFFF" w:sz="8" w:space="0"/>
              <w:bottom w:val="single" w:color="FFFFFF" w:sz="8" w:space="0"/>
              <w:right w:val="single" w:color="FFFFFF" w:sz="8" w:space="0"/>
            </w:tcBorders>
            <w:shd w:val="clear" w:color="auto" w:fill="4BACC6" w:themeFill="accent5"/>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人数</w:t>
            </w:r>
          </w:p>
        </w:tc>
        <w:tc>
          <w:tcPr>
            <w:tcW w:w="1086" w:type="dxa"/>
            <w:tcBorders>
              <w:top w:val="single" w:color="FFFFFF" w:sz="18" w:space="0"/>
              <w:left w:val="single" w:color="FFFFFF" w:sz="8" w:space="0"/>
              <w:bottom w:val="single" w:color="FFFFFF" w:sz="8" w:space="0"/>
              <w:right w:val="single" w:color="FFFFFF" w:sz="8" w:space="0"/>
            </w:tcBorders>
            <w:shd w:val="clear" w:color="auto" w:fill="4BACC6" w:themeFill="accent5"/>
            <w:vAlign w:val="center"/>
          </w:tcPr>
          <w:p>
            <w:pPr>
              <w:widowControl/>
              <w:jc w:val="center"/>
              <w:textAlignment w:val="center"/>
              <w:rPr>
                <w:rFonts w:ascii="宋体" w:hAnsi="宋体" w:cs="宋体"/>
                <w:b/>
                <w:bCs/>
                <w:color w:val="000000"/>
                <w:sz w:val="24"/>
                <w:szCs w:val="24"/>
              </w:rPr>
            </w:pPr>
            <w:r>
              <w:rPr>
                <w:rFonts w:hint="eastAsia" w:ascii="宋体" w:hAnsi="宋体" w:cs="宋体"/>
                <w:b/>
                <w:color w:val="000000"/>
                <w:kern w:val="0"/>
                <w:sz w:val="24"/>
                <w:szCs w:val="24"/>
                <w:lang w:bidi="ar"/>
              </w:rPr>
              <w:t>比例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机关</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11</w:t>
            </w: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2.56%</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21</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0.30%</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w:t>
            </w: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679" w:hRule="atLeast"/>
        </w:trPr>
        <w:tc>
          <w:tcPr>
            <w:tcW w:w="171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高等教育单位</w:t>
            </w:r>
          </w:p>
        </w:tc>
        <w:tc>
          <w:tcPr>
            <w:tcW w:w="960"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15</w:t>
            </w:r>
          </w:p>
        </w:tc>
        <w:tc>
          <w:tcPr>
            <w:tcW w:w="132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3.49%</w:t>
            </w:r>
          </w:p>
        </w:tc>
        <w:tc>
          <w:tcPr>
            <w:tcW w:w="818"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5</w:t>
            </w:r>
          </w:p>
        </w:tc>
        <w:tc>
          <w:tcPr>
            <w:tcW w:w="1467"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0.07%</w:t>
            </w:r>
          </w:p>
        </w:tc>
        <w:tc>
          <w:tcPr>
            <w:tcW w:w="1085"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rFonts w:ascii="宋体" w:hAnsi="宋体" w:cs="宋体"/>
                <w:b/>
                <w:color w:val="000000"/>
                <w:sz w:val="28"/>
                <w:szCs w:val="28"/>
              </w:rPr>
            </w:pPr>
          </w:p>
        </w:tc>
        <w:tc>
          <w:tcPr>
            <w:tcW w:w="108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679"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其他事业单位</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13</w:t>
            </w: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3.02%</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58</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0.84%</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18"/>
                <w:szCs w:val="18"/>
                <w:u w:val="none"/>
                <w:lang w:val="en-US" w:eastAsia="zh-CN" w:bidi="ar"/>
              </w:rPr>
              <w:t>2</w:t>
            </w: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679" w:hRule="atLeast"/>
        </w:trPr>
        <w:tc>
          <w:tcPr>
            <w:tcW w:w="171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部队</w:t>
            </w:r>
          </w:p>
        </w:tc>
        <w:tc>
          <w:tcPr>
            <w:tcW w:w="960" w:type="dxa"/>
            <w:tcBorders>
              <w:top w:val="single" w:color="FFFFFF" w:sz="8" w:space="0"/>
              <w:left w:val="single" w:color="FFFFFF" w:sz="8" w:space="0"/>
              <w:bottom w:val="single" w:color="FFFFFF" w:sz="8" w:space="0"/>
              <w:right w:val="single" w:color="FFFFFF" w:sz="8" w:space="0"/>
            </w:tcBorders>
            <w:shd w:val="clear" w:color="auto" w:fill="D0E3EA"/>
            <w:vAlign w:val="center"/>
          </w:tcPr>
          <w:p>
            <w:pPr>
              <w:jc w:val="center"/>
              <w:rPr>
                <w:rFonts w:ascii="宋体" w:hAnsi="宋体" w:cs="宋体"/>
                <w:b/>
                <w:color w:val="000000"/>
                <w:sz w:val="28"/>
                <w:szCs w:val="28"/>
              </w:rPr>
            </w:pPr>
          </w:p>
        </w:tc>
        <w:tc>
          <w:tcPr>
            <w:tcW w:w="132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0.00%</w:t>
            </w:r>
          </w:p>
        </w:tc>
        <w:tc>
          <w:tcPr>
            <w:tcW w:w="818"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5</w:t>
            </w:r>
          </w:p>
        </w:tc>
        <w:tc>
          <w:tcPr>
            <w:tcW w:w="1467"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0.07%</w:t>
            </w:r>
          </w:p>
        </w:tc>
        <w:tc>
          <w:tcPr>
            <w:tcW w:w="1085"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5</w:t>
            </w:r>
          </w:p>
        </w:tc>
        <w:tc>
          <w:tcPr>
            <w:tcW w:w="108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基层项目</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w:t>
            </w: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0.93%</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29</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0.42%</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w:t>
            </w: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国有企业</w:t>
            </w:r>
          </w:p>
        </w:tc>
        <w:tc>
          <w:tcPr>
            <w:tcW w:w="960"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74</w:t>
            </w:r>
          </w:p>
        </w:tc>
        <w:tc>
          <w:tcPr>
            <w:tcW w:w="132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17.20%</w:t>
            </w:r>
          </w:p>
        </w:tc>
        <w:tc>
          <w:tcPr>
            <w:tcW w:w="818"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813</w:t>
            </w:r>
          </w:p>
        </w:tc>
        <w:tc>
          <w:tcPr>
            <w:tcW w:w="1467"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11.77%</w:t>
            </w:r>
          </w:p>
        </w:tc>
        <w:tc>
          <w:tcPr>
            <w:tcW w:w="1085"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5</w:t>
            </w:r>
          </w:p>
        </w:tc>
        <w:tc>
          <w:tcPr>
            <w:tcW w:w="108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0.35%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679"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三资企业</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26</w:t>
            </w: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6.04%</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244</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3.53%</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rFonts w:ascii="宋体" w:hAnsi="宋体" w:cs="宋体"/>
                <w:b/>
                <w:color w:val="000000"/>
                <w:sz w:val="28"/>
                <w:szCs w:val="28"/>
              </w:rPr>
            </w:pP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其他企业</w:t>
            </w:r>
          </w:p>
        </w:tc>
        <w:tc>
          <w:tcPr>
            <w:tcW w:w="960"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207</w:t>
            </w:r>
          </w:p>
        </w:tc>
        <w:tc>
          <w:tcPr>
            <w:tcW w:w="132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48.14%</w:t>
            </w:r>
          </w:p>
        </w:tc>
        <w:tc>
          <w:tcPr>
            <w:tcW w:w="818"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3403</w:t>
            </w:r>
          </w:p>
        </w:tc>
        <w:tc>
          <w:tcPr>
            <w:tcW w:w="1467"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49.28%</w:t>
            </w:r>
          </w:p>
        </w:tc>
        <w:tc>
          <w:tcPr>
            <w:tcW w:w="1085"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637</w:t>
            </w:r>
          </w:p>
        </w:tc>
        <w:tc>
          <w:tcPr>
            <w:tcW w:w="108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42.47%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679"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自主创业</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rFonts w:ascii="宋体" w:hAnsi="宋体" w:cs="宋体"/>
                <w:b/>
                <w:color w:val="000000"/>
                <w:sz w:val="28"/>
                <w:szCs w:val="28"/>
              </w:rPr>
            </w:pP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0.00%</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42</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0.60%</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w:t>
            </w: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升学</w:t>
            </w:r>
          </w:p>
        </w:tc>
        <w:tc>
          <w:tcPr>
            <w:tcW w:w="960"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27</w:t>
            </w:r>
          </w:p>
        </w:tc>
        <w:tc>
          <w:tcPr>
            <w:tcW w:w="132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6.27%</w:t>
            </w:r>
          </w:p>
        </w:tc>
        <w:tc>
          <w:tcPr>
            <w:tcW w:w="818"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1385</w:t>
            </w:r>
          </w:p>
        </w:tc>
        <w:tc>
          <w:tcPr>
            <w:tcW w:w="1467"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20.06%</w:t>
            </w:r>
          </w:p>
        </w:tc>
        <w:tc>
          <w:tcPr>
            <w:tcW w:w="1085"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478</w:t>
            </w:r>
          </w:p>
        </w:tc>
        <w:tc>
          <w:tcPr>
            <w:tcW w:w="108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31.87%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679"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出国、出境</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w:t>
            </w: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0.46%</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138</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2.00%</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jc w:val="center"/>
              <w:rPr>
                <w:rFonts w:ascii="宋体" w:hAnsi="宋体" w:cs="宋体"/>
                <w:b/>
                <w:color w:val="000000"/>
                <w:sz w:val="28"/>
                <w:szCs w:val="28"/>
              </w:rPr>
            </w:pP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0.00%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0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待就业</w:t>
            </w:r>
          </w:p>
        </w:tc>
        <w:tc>
          <w:tcPr>
            <w:tcW w:w="960"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51</w:t>
            </w:r>
          </w:p>
        </w:tc>
        <w:tc>
          <w:tcPr>
            <w:tcW w:w="132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11.86%</w:t>
            </w:r>
          </w:p>
        </w:tc>
        <w:tc>
          <w:tcPr>
            <w:tcW w:w="818"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762</w:t>
            </w:r>
          </w:p>
        </w:tc>
        <w:tc>
          <w:tcPr>
            <w:tcW w:w="1467"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11.04%</w:t>
            </w:r>
          </w:p>
        </w:tc>
        <w:tc>
          <w:tcPr>
            <w:tcW w:w="1085"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368</w:t>
            </w:r>
          </w:p>
        </w:tc>
        <w:tc>
          <w:tcPr>
            <w:tcW w:w="1086" w:type="dxa"/>
            <w:tcBorders>
              <w:top w:val="single" w:color="FFFFFF" w:sz="8" w:space="0"/>
              <w:left w:val="single" w:color="FFFFFF" w:sz="8" w:space="0"/>
              <w:bottom w:val="single" w:color="FFFFFF" w:sz="8" w:space="0"/>
              <w:right w:val="single" w:color="FFFFFF" w:sz="8" w:space="0"/>
            </w:tcBorders>
            <w:shd w:val="clear" w:color="auto" w:fill="D0E3EA"/>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24.53%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5" w:type="dxa"/>
            <w:left w:w="15" w:type="dxa"/>
            <w:bottom w:w="15" w:type="dxa"/>
            <w:right w:w="15" w:type="dxa"/>
          </w:tblCellMar>
        </w:tblPrEx>
        <w:trPr>
          <w:trHeight w:val="437" w:hRule="atLeast"/>
        </w:trPr>
        <w:tc>
          <w:tcPr>
            <w:tcW w:w="171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left"/>
              <w:textAlignment w:val="center"/>
              <w:rPr>
                <w:rFonts w:ascii="宋体" w:hAnsi="宋体" w:cs="宋体"/>
                <w:b/>
                <w:color w:val="000000"/>
                <w:sz w:val="24"/>
                <w:szCs w:val="24"/>
              </w:rPr>
            </w:pPr>
            <w:r>
              <w:rPr>
                <w:rFonts w:hint="eastAsia" w:ascii="宋体" w:hAnsi="宋体" w:eastAsia="宋体" w:cs="宋体"/>
                <w:b/>
                <w:i w:val="0"/>
                <w:color w:val="000000"/>
                <w:kern w:val="0"/>
                <w:sz w:val="24"/>
                <w:szCs w:val="24"/>
                <w:u w:val="none"/>
                <w:lang w:val="en-US" w:eastAsia="zh-CN" w:bidi="ar"/>
              </w:rPr>
              <w:t>合计</w:t>
            </w:r>
          </w:p>
        </w:tc>
        <w:tc>
          <w:tcPr>
            <w:tcW w:w="960"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430</w:t>
            </w:r>
          </w:p>
        </w:tc>
        <w:tc>
          <w:tcPr>
            <w:tcW w:w="132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100.00%</w:t>
            </w:r>
          </w:p>
        </w:tc>
        <w:tc>
          <w:tcPr>
            <w:tcW w:w="818"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6905</w:t>
            </w:r>
          </w:p>
        </w:tc>
        <w:tc>
          <w:tcPr>
            <w:tcW w:w="1467"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100.00%</w:t>
            </w:r>
          </w:p>
        </w:tc>
        <w:tc>
          <w:tcPr>
            <w:tcW w:w="1085"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1500</w:t>
            </w:r>
          </w:p>
        </w:tc>
        <w:tc>
          <w:tcPr>
            <w:tcW w:w="1086" w:type="dxa"/>
            <w:tcBorders>
              <w:top w:val="single" w:color="FFFFFF" w:sz="8" w:space="0"/>
              <w:left w:val="single" w:color="FFFFFF" w:sz="8" w:space="0"/>
              <w:bottom w:val="single" w:color="FFFFFF" w:sz="8" w:space="0"/>
              <w:right w:val="single" w:color="FFFFFF" w:sz="8" w:space="0"/>
            </w:tcBorders>
            <w:shd w:val="clear" w:color="auto" w:fill="E9F1F5"/>
            <w:vAlign w:val="center"/>
          </w:tcPr>
          <w:p>
            <w:pPr>
              <w:keepNext w:val="0"/>
              <w:keepLines w:val="0"/>
              <w:widowControl/>
              <w:suppressLineNumbers w:val="0"/>
              <w:jc w:val="center"/>
              <w:textAlignment w:val="center"/>
              <w:rPr>
                <w:rFonts w:ascii="宋体" w:hAnsi="宋体" w:cs="宋体"/>
                <w:b/>
                <w:color w:val="000000"/>
                <w:sz w:val="28"/>
                <w:szCs w:val="28"/>
              </w:rPr>
            </w:pPr>
            <w:r>
              <w:rPr>
                <w:rFonts w:hint="eastAsia" w:ascii="宋体" w:hAnsi="宋体" w:eastAsia="宋体" w:cs="宋体"/>
                <w:b/>
                <w:i w:val="0"/>
                <w:color w:val="000000"/>
                <w:kern w:val="0"/>
                <w:sz w:val="20"/>
                <w:szCs w:val="20"/>
                <w:u w:val="none"/>
                <w:lang w:val="en-US" w:eastAsia="zh-CN" w:bidi="ar"/>
              </w:rPr>
              <w:t>100.00%</w:t>
            </w:r>
          </w:p>
        </w:tc>
      </w:tr>
    </w:tbl>
    <w:p>
      <w:pPr>
        <w:ind w:firstLine="640" w:firstLineChars="200"/>
        <w:rPr>
          <w:rFonts w:ascii="仿宋_GB2312" w:hAnsi="仿宋" w:eastAsia="仿宋_GB2312"/>
          <w:sz w:val="32"/>
          <w:szCs w:val="32"/>
        </w:rPr>
      </w:pPr>
      <w:r>
        <w:rPr>
          <w:rFonts w:hint="eastAsia" w:ascii="仿宋_GB2312" w:hAnsi="仿宋" w:eastAsia="仿宋_GB2312"/>
          <w:sz w:val="32"/>
          <w:szCs w:val="32"/>
        </w:rPr>
        <w:t>从就业单位性质来看，硕士、本科毕业生到其他企业就业比例将近一半，专科毕业生到其他企业就业在42.47%，</w:t>
      </w:r>
      <w:bookmarkStart w:id="77" w:name="_Toc14348"/>
      <w:r>
        <w:rPr>
          <w:rFonts w:hint="eastAsia" w:ascii="仿宋_GB2312" w:hAnsi="仿宋" w:eastAsia="仿宋_GB2312"/>
          <w:sz w:val="32"/>
          <w:szCs w:val="32"/>
        </w:rPr>
        <w:t>31.87%的毕业生考取了专升本。</w:t>
      </w:r>
    </w:p>
    <w:p>
      <w:pPr>
        <w:outlineLvl w:val="1"/>
        <w:rPr>
          <w:rFonts w:ascii="仿宋_GB2312" w:hAnsi="仿宋" w:eastAsia="仿宋_GB2312"/>
          <w:b/>
          <w:bCs/>
          <w:sz w:val="32"/>
          <w:szCs w:val="32"/>
        </w:rPr>
      </w:pPr>
      <w:bookmarkStart w:id="78" w:name="_Toc8390"/>
      <w:bookmarkStart w:id="79" w:name="_Toc23101"/>
      <w:bookmarkStart w:id="80" w:name="_Toc10476"/>
      <w:bookmarkStart w:id="81" w:name="_Toc12894"/>
      <w:bookmarkStart w:id="82" w:name="_Toc9040"/>
      <w:bookmarkStart w:id="83" w:name="_Toc11647"/>
      <w:bookmarkStart w:id="84" w:name="_Toc23312"/>
      <w:r>
        <w:rPr>
          <w:rFonts w:hint="eastAsia" w:ascii="仿宋_GB2312" w:hAnsi="仿宋" w:eastAsia="仿宋_GB2312"/>
          <w:b/>
          <w:bCs/>
          <w:sz w:val="32"/>
          <w:szCs w:val="32"/>
        </w:rPr>
        <w:t>（五）地域流向</w:t>
      </w:r>
      <w:bookmarkEnd w:id="77"/>
      <w:bookmarkEnd w:id="78"/>
      <w:bookmarkEnd w:id="79"/>
      <w:bookmarkEnd w:id="80"/>
      <w:bookmarkEnd w:id="81"/>
      <w:bookmarkEnd w:id="82"/>
      <w:bookmarkEnd w:id="83"/>
      <w:bookmarkEnd w:id="84"/>
    </w:p>
    <w:tbl>
      <w:tblPr>
        <w:tblStyle w:val="19"/>
        <w:tblpPr w:leftFromText="180" w:rightFromText="180" w:vertAnchor="text" w:horzAnchor="page" w:tblpX="1889" w:tblpY="605"/>
        <w:tblOverlap w:val="never"/>
        <w:tblW w:w="8696" w:type="dxa"/>
        <w:tblInd w:w="0" w:type="dxa"/>
        <w:tblLayout w:type="fixed"/>
        <w:tblCellMar>
          <w:top w:w="0" w:type="dxa"/>
          <w:left w:w="108" w:type="dxa"/>
          <w:bottom w:w="0" w:type="dxa"/>
          <w:right w:w="108" w:type="dxa"/>
        </w:tblCellMar>
      </w:tblPr>
      <w:tblGrid>
        <w:gridCol w:w="525"/>
        <w:gridCol w:w="1870"/>
        <w:gridCol w:w="1350"/>
        <w:gridCol w:w="1300"/>
        <w:gridCol w:w="1300"/>
        <w:gridCol w:w="765"/>
        <w:gridCol w:w="1586"/>
      </w:tblGrid>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20"/>
                <w:lang w:bidi="ar"/>
              </w:rPr>
            </w:pPr>
            <w:bookmarkStart w:id="85" w:name="_Toc23742"/>
            <w:bookmarkStart w:id="86" w:name="_Toc19364"/>
            <w:r>
              <w:rPr>
                <w:rFonts w:hint="eastAsia" w:ascii="宋体" w:hAnsi="宋体" w:eastAsia="宋体" w:cs="宋体"/>
                <w:i w:val="0"/>
                <w:color w:val="000000"/>
                <w:kern w:val="0"/>
                <w:sz w:val="20"/>
                <w:szCs w:val="20"/>
                <w:u w:val="none"/>
                <w:lang w:val="en-US" w:eastAsia="zh-CN" w:bidi="ar"/>
              </w:rPr>
              <w:t>序号</w:t>
            </w:r>
          </w:p>
        </w:tc>
        <w:tc>
          <w:tcPr>
            <w:tcW w:w="1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color w:val="000000"/>
                <w:kern w:val="0"/>
                <w:sz w:val="20"/>
                <w:szCs w:val="20"/>
                <w:u w:val="none"/>
                <w:lang w:val="en-US" w:eastAsia="zh-CN" w:bidi="ar"/>
              </w:rPr>
              <w:t>地区</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color w:val="000000"/>
                <w:kern w:val="0"/>
                <w:sz w:val="20"/>
                <w:szCs w:val="20"/>
                <w:u w:val="none"/>
                <w:lang w:val="en-US" w:eastAsia="zh-CN" w:bidi="ar"/>
              </w:rPr>
              <w:t>硕士生毕业</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color w:val="000000"/>
                <w:kern w:val="0"/>
                <w:sz w:val="20"/>
                <w:szCs w:val="20"/>
                <w:u w:val="none"/>
                <w:lang w:val="en-US" w:eastAsia="zh-CN" w:bidi="ar"/>
              </w:rPr>
              <w:t>本科生毕业</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color w:val="000000"/>
                <w:kern w:val="0"/>
                <w:sz w:val="20"/>
                <w:szCs w:val="20"/>
                <w:u w:val="none"/>
                <w:lang w:val="en-US" w:eastAsia="zh-CN" w:bidi="ar"/>
              </w:rPr>
              <w:t>专科生毕业</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color w:val="000000"/>
                <w:kern w:val="0"/>
                <w:sz w:val="20"/>
                <w:szCs w:val="20"/>
                <w:u w:val="none"/>
                <w:lang w:val="en-US" w:eastAsia="zh-CN" w:bidi="ar"/>
              </w:rPr>
              <w:t>合计</w:t>
            </w:r>
          </w:p>
        </w:tc>
        <w:tc>
          <w:tcPr>
            <w:tcW w:w="15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占就业人数比例</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w:t>
            </w:r>
          </w:p>
        </w:tc>
        <w:tc>
          <w:tcPr>
            <w:tcW w:w="1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Theme="minorEastAsia" w:hAnsiTheme="minorEastAsia" w:eastAsiaTheme="minorEastAsia" w:cstheme="minorEastAsia"/>
                <w:bCs/>
                <w:color w:val="000000"/>
                <w:kern w:val="0"/>
                <w:sz w:val="20"/>
              </w:rPr>
            </w:pPr>
            <w:r>
              <w:rPr>
                <w:rFonts w:hint="eastAsia" w:ascii="宋体" w:hAnsi="宋体" w:eastAsia="宋体" w:cs="宋体"/>
                <w:i w:val="0"/>
                <w:color w:val="000000"/>
                <w:kern w:val="0"/>
                <w:sz w:val="20"/>
                <w:szCs w:val="20"/>
                <w:u w:val="none"/>
                <w:lang w:val="en-US" w:eastAsia="zh-CN" w:bidi="ar"/>
              </w:rPr>
              <w:t>河南省郑州市</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themeColor="text1"/>
                <w:kern w:val="0"/>
                <w:sz w:val="24"/>
                <w:szCs w:val="24"/>
                <w14:textFill>
                  <w14:solidFill>
                    <w14:schemeClr w14:val="tx1"/>
                  </w14:solidFill>
                </w14:textFill>
              </w:rPr>
            </w:pPr>
            <w:r>
              <w:rPr>
                <w:rFonts w:ascii="宋体" w:hAnsi="宋体" w:eastAsia="宋体" w:cs="宋体"/>
                <w:i w:val="0"/>
                <w:color w:val="000000"/>
                <w:kern w:val="0"/>
                <w:sz w:val="18"/>
                <w:szCs w:val="18"/>
                <w:u w:val="none"/>
                <w:lang w:val="en-US" w:eastAsia="zh-CN" w:bidi="ar"/>
              </w:rPr>
              <w:t>156</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themeColor="text1"/>
                <w:kern w:val="0"/>
                <w:sz w:val="24"/>
                <w:szCs w:val="24"/>
                <w14:textFill>
                  <w14:solidFill>
                    <w14:schemeClr w14:val="tx1"/>
                  </w14:solidFill>
                </w14:textFill>
              </w:rPr>
            </w:pPr>
            <w:r>
              <w:rPr>
                <w:rFonts w:ascii="宋体" w:hAnsi="宋体" w:eastAsia="宋体" w:cs="宋体"/>
                <w:i w:val="0"/>
                <w:color w:val="000000"/>
                <w:kern w:val="0"/>
                <w:sz w:val="18"/>
                <w:szCs w:val="18"/>
                <w:u w:val="none"/>
                <w:lang w:val="en-US" w:eastAsia="zh-CN" w:bidi="ar"/>
              </w:rPr>
              <w:t>1415</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themeColor="text1"/>
                <w:kern w:val="0"/>
                <w:sz w:val="24"/>
                <w:szCs w:val="24"/>
                <w14:textFill>
                  <w14:solidFill>
                    <w14:schemeClr w14:val="tx1"/>
                  </w14:solidFill>
                </w14:textFill>
              </w:rPr>
            </w:pPr>
            <w:r>
              <w:rPr>
                <w:rFonts w:ascii="宋体" w:hAnsi="宋体" w:eastAsia="宋体" w:cs="宋体"/>
                <w:i w:val="0"/>
                <w:color w:val="000000"/>
                <w:kern w:val="0"/>
                <w:sz w:val="18"/>
                <w:szCs w:val="18"/>
                <w:u w:val="none"/>
                <w:lang w:val="en-US" w:eastAsia="zh-CN" w:bidi="ar"/>
              </w:rPr>
              <w:t>442</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themeColor="text1"/>
                <w:kern w:val="0"/>
                <w:sz w:val="24"/>
                <w:szCs w:val="24"/>
                <w14:textFill>
                  <w14:solidFill>
                    <w14:schemeClr w14:val="tx1"/>
                  </w14:solidFill>
                </w14:textFill>
              </w:rPr>
            </w:pPr>
            <w:r>
              <w:rPr>
                <w:rFonts w:hint="eastAsia" w:ascii="宋体" w:hAnsi="宋体" w:eastAsia="宋体" w:cs="宋体"/>
                <w:i w:val="0"/>
                <w:color w:val="auto"/>
                <w:kern w:val="0"/>
                <w:sz w:val="18"/>
                <w:szCs w:val="18"/>
                <w:u w:val="none"/>
                <w:lang w:val="en-US" w:eastAsia="zh-CN" w:bidi="ar"/>
              </w:rPr>
              <w:t>2014</w:t>
            </w:r>
          </w:p>
        </w:tc>
        <w:tc>
          <w:tcPr>
            <w:tcW w:w="15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themeColor="text1"/>
                <w:kern w:val="0"/>
                <w:sz w:val="24"/>
                <w:szCs w:val="24"/>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35.80%</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w:t>
            </w:r>
          </w:p>
        </w:tc>
        <w:tc>
          <w:tcPr>
            <w:tcW w:w="1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Theme="minorEastAsia" w:hAnsiTheme="minorEastAsia" w:eastAsiaTheme="minorEastAsia" w:cstheme="minorEastAsia"/>
                <w:bCs/>
                <w:color w:val="000000"/>
                <w:kern w:val="0"/>
                <w:sz w:val="20"/>
              </w:rPr>
            </w:pPr>
            <w:r>
              <w:rPr>
                <w:rFonts w:hint="eastAsia" w:ascii="宋体" w:hAnsi="宋体" w:eastAsia="宋体" w:cs="宋体"/>
                <w:i w:val="0"/>
                <w:color w:val="000000"/>
                <w:kern w:val="0"/>
                <w:sz w:val="20"/>
                <w:szCs w:val="20"/>
                <w:u w:val="none"/>
                <w:lang w:val="en-US" w:eastAsia="zh-CN" w:bidi="ar"/>
              </w:rPr>
              <w:t>河南省其他地市</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themeColor="text1"/>
                <w:kern w:val="0"/>
                <w:sz w:val="20"/>
                <w:lang w:bidi="ar"/>
                <w14:textFill>
                  <w14:solidFill>
                    <w14:schemeClr w14:val="tx1"/>
                  </w14:solidFill>
                </w14:textFill>
              </w:rPr>
            </w:pPr>
            <w:r>
              <w:rPr>
                <w:rFonts w:ascii="宋体" w:hAnsi="宋体" w:eastAsia="宋体" w:cs="宋体"/>
                <w:i w:val="0"/>
                <w:color w:val="000000"/>
                <w:kern w:val="0"/>
                <w:sz w:val="18"/>
                <w:szCs w:val="18"/>
                <w:u w:val="none"/>
                <w:lang w:val="en-US" w:eastAsia="zh-CN" w:bidi="ar"/>
              </w:rPr>
              <w:t>64</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themeColor="text1"/>
                <w:kern w:val="0"/>
                <w:sz w:val="20"/>
                <w:lang w:bidi="ar"/>
                <w14:textFill>
                  <w14:solidFill>
                    <w14:schemeClr w14:val="tx1"/>
                  </w14:solidFill>
                </w14:textFill>
              </w:rPr>
            </w:pPr>
            <w:r>
              <w:rPr>
                <w:rFonts w:ascii="宋体" w:hAnsi="宋体" w:eastAsia="宋体" w:cs="宋体"/>
                <w:i w:val="0"/>
                <w:color w:val="000000"/>
                <w:kern w:val="0"/>
                <w:sz w:val="18"/>
                <w:szCs w:val="18"/>
                <w:u w:val="none"/>
                <w:lang w:val="en-US" w:eastAsia="zh-CN" w:bidi="ar"/>
              </w:rPr>
              <w:t>674</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宋体" w:hAnsi="宋体" w:cs="宋体"/>
                <w:color w:val="000000" w:themeColor="text1"/>
                <w:kern w:val="0"/>
                <w:sz w:val="20"/>
                <w:lang w:bidi="ar"/>
                <w14:textFill>
                  <w14:solidFill>
                    <w14:schemeClr w14:val="tx1"/>
                  </w14:solidFill>
                </w14:textFill>
              </w:rPr>
            </w:pPr>
            <w:r>
              <w:rPr>
                <w:rFonts w:ascii="宋体" w:hAnsi="宋体" w:eastAsia="宋体" w:cs="宋体"/>
                <w:i w:val="0"/>
                <w:color w:val="000000"/>
                <w:kern w:val="0"/>
                <w:sz w:val="18"/>
                <w:szCs w:val="18"/>
                <w:u w:val="none"/>
                <w:lang w:val="en-US" w:eastAsia="zh-CN" w:bidi="ar"/>
              </w:rPr>
              <w:t>165</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themeColor="text1"/>
                <w:kern w:val="0"/>
                <w:sz w:val="24"/>
                <w:szCs w:val="24"/>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903</w:t>
            </w:r>
          </w:p>
        </w:tc>
        <w:tc>
          <w:tcPr>
            <w:tcW w:w="15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themeColor="text1"/>
                <w:kern w:val="0"/>
                <w:sz w:val="24"/>
                <w:szCs w:val="24"/>
                <w14:textFill>
                  <w14:solidFill>
                    <w14:schemeClr w14:val="tx1"/>
                  </w14:solidFill>
                </w14:textFill>
              </w:rPr>
            </w:pPr>
            <w:r>
              <w:rPr>
                <w:rFonts w:hint="eastAsia" w:ascii="宋体" w:hAnsi="宋体" w:eastAsia="宋体" w:cs="宋体"/>
                <w:i w:val="0"/>
                <w:color w:val="000000"/>
                <w:kern w:val="0"/>
                <w:sz w:val="24"/>
                <w:szCs w:val="24"/>
                <w:u w:val="none"/>
                <w:lang w:val="en-US" w:eastAsia="zh-CN" w:bidi="ar"/>
              </w:rPr>
              <w:t>16.05%</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3</w:t>
            </w:r>
          </w:p>
        </w:tc>
        <w:tc>
          <w:tcPr>
            <w:tcW w:w="1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浙江省</w:t>
            </w:r>
          </w:p>
        </w:tc>
        <w:tc>
          <w:tcPr>
            <w:tcW w:w="135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18</w:t>
            </w:r>
          </w:p>
        </w:tc>
        <w:tc>
          <w:tcPr>
            <w:tcW w:w="130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285</w:t>
            </w:r>
          </w:p>
        </w:tc>
        <w:tc>
          <w:tcPr>
            <w:tcW w:w="130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w:t>
            </w:r>
          </w:p>
        </w:tc>
        <w:tc>
          <w:tcPr>
            <w:tcW w:w="765"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306</w:t>
            </w:r>
          </w:p>
        </w:tc>
        <w:tc>
          <w:tcPr>
            <w:tcW w:w="1586"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5.44%</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4</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江苏省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288</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6</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305</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5.42%</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5</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广东省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376</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24</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421</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7.48%</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6</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安徽省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4</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89</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93</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1.65%</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7</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河北省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99</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103</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1.83%</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8</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山东省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16</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128</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144</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2.56%</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9</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山西省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37</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40</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0.71%</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10</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陕西省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67</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69</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1.22%</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11</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天津市</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4</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91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97</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1.72%</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12</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湖北省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8</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78</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87</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1.55%</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13</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海南省</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47</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47</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0.84%</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14</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福建省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85</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88</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1.56%</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15</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贵州省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26</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27</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0.48%</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16</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四川省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65</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67</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1.19%</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17</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湖南省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39</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40</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0.71%</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18</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云南省</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32</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32</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0.56%</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19</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广西壮族自治区</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28</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28</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0.49%</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20</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内蒙古自治区</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23</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23</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0.40%</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21</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江西省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17</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18</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0.32%</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22</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辽宁省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38</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39</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0.69%</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23</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北京市</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12</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235</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5</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252</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4.48%</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24</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上海市</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20</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246</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267</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4.75%</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25</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宁夏回族自治区</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18</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18</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0.32%</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26</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黑龙江省</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9</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asciiTheme="majorEastAsia" w:hAnsiTheme="majorEastAsia" w:eastAsiaTheme="majorEastAsia" w:cstheme="majorEastAsia"/>
                <w:bCs/>
                <w:color w:val="000000"/>
                <w:kern w:val="0"/>
                <w:sz w:val="20"/>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Theme="majorEastAsia" w:hAnsiTheme="majorEastAsia" w:eastAsiaTheme="majorEastAsia" w:cstheme="majorEastAsia"/>
                <w:bCs/>
                <w:color w:val="000000"/>
                <w:kern w:val="0"/>
                <w:sz w:val="20"/>
              </w:rPr>
            </w:pPr>
            <w:r>
              <w:rPr>
                <w:rFonts w:hint="eastAsia" w:ascii="宋体" w:hAnsi="宋体" w:eastAsia="宋体" w:cs="宋体"/>
                <w:i w:val="0"/>
                <w:color w:val="000000"/>
                <w:kern w:val="0"/>
                <w:sz w:val="18"/>
                <w:szCs w:val="18"/>
                <w:u w:val="none"/>
                <w:lang w:val="en-US" w:eastAsia="zh-CN" w:bidi="ar"/>
              </w:rPr>
              <w:t>9</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0.16%</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27</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重庆市</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25</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25</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0.44%</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28</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新疆维吾尔自治区</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24</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2</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26</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0.46%</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29</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青海省</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18</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18</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0.32%</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30</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甘肃省</w:t>
            </w:r>
          </w:p>
        </w:tc>
        <w:tc>
          <w:tcPr>
            <w:tcW w:w="135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1</w:t>
            </w: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9</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10</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0.18%</w:t>
            </w:r>
          </w:p>
        </w:tc>
      </w:tr>
      <w:tr>
        <w:tblPrEx>
          <w:tblCellMar>
            <w:top w:w="0" w:type="dxa"/>
            <w:left w:w="108" w:type="dxa"/>
            <w:bottom w:w="0" w:type="dxa"/>
            <w:right w:w="108" w:type="dxa"/>
          </w:tblCellMar>
        </w:tblPrEx>
        <w:trPr>
          <w:trHeight w:val="624" w:hRule="exact"/>
        </w:trPr>
        <w:tc>
          <w:tcPr>
            <w:tcW w:w="5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color w:val="000000"/>
                <w:kern w:val="0"/>
                <w:sz w:val="22"/>
                <w:szCs w:val="22"/>
              </w:rPr>
            </w:pPr>
            <w:r>
              <w:rPr>
                <w:rFonts w:hint="eastAsia" w:ascii="华文仿宋" w:hAnsi="华文仿宋" w:eastAsia="华文仿宋" w:cs="华文仿宋"/>
                <w:i w:val="0"/>
                <w:color w:val="000000"/>
                <w:kern w:val="0"/>
                <w:sz w:val="22"/>
                <w:szCs w:val="22"/>
                <w:u w:val="none"/>
                <w:lang w:val="en-US" w:eastAsia="zh-CN" w:bidi="ar"/>
              </w:rPr>
              <w:t>31</w:t>
            </w:r>
          </w:p>
        </w:tc>
        <w:tc>
          <w:tcPr>
            <w:tcW w:w="187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华文仿宋" w:hAnsi="华文仿宋" w:eastAsia="华文仿宋"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吉林省</w:t>
            </w:r>
          </w:p>
        </w:tc>
        <w:tc>
          <w:tcPr>
            <w:tcW w:w="135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13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ascii="宋体" w:hAnsi="宋体" w:eastAsia="宋体" w:cs="宋体"/>
                <w:i w:val="0"/>
                <w:color w:val="000000"/>
                <w:kern w:val="0"/>
                <w:sz w:val="18"/>
                <w:szCs w:val="18"/>
                <w:u w:val="none"/>
                <w:lang w:val="en-US" w:eastAsia="zh-CN" w:bidi="ar"/>
              </w:rPr>
              <w:t>9</w:t>
            </w:r>
          </w:p>
        </w:tc>
        <w:tc>
          <w:tcPr>
            <w:tcW w:w="1300" w:type="dxa"/>
            <w:tcBorders>
              <w:top w:val="nil"/>
              <w:left w:val="nil"/>
              <w:bottom w:val="single" w:color="000000" w:sz="8" w:space="0"/>
              <w:right w:val="single" w:color="000000" w:sz="8" w:space="0"/>
            </w:tcBorders>
            <w:shd w:val="clear" w:color="auto" w:fill="FFFFFF"/>
            <w:vAlign w:val="center"/>
          </w:tcPr>
          <w:p>
            <w:pPr>
              <w:jc w:val="center"/>
              <w:rPr>
                <w:rFonts w:eastAsia="华文仿宋"/>
                <w:bCs/>
                <w:color w:val="000000"/>
                <w:kern w:val="0"/>
                <w:sz w:val="24"/>
                <w:szCs w:val="24"/>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Cs/>
                <w:color w:val="000000"/>
                <w:kern w:val="0"/>
                <w:sz w:val="24"/>
                <w:szCs w:val="24"/>
              </w:rPr>
            </w:pPr>
            <w:r>
              <w:rPr>
                <w:rFonts w:hint="eastAsia" w:ascii="宋体" w:hAnsi="宋体" w:eastAsia="宋体" w:cs="宋体"/>
                <w:i w:val="0"/>
                <w:color w:val="000000"/>
                <w:kern w:val="0"/>
                <w:sz w:val="18"/>
                <w:szCs w:val="18"/>
                <w:u w:val="none"/>
                <w:lang w:val="en-US" w:eastAsia="zh-CN" w:bidi="ar"/>
              </w:rPr>
              <w:t>9</w:t>
            </w:r>
          </w:p>
        </w:tc>
        <w:tc>
          <w:tcPr>
            <w:tcW w:w="158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eastAsia="华文仿宋"/>
                <w:b/>
                <w:bCs/>
                <w:color w:val="000000"/>
                <w:kern w:val="0"/>
                <w:sz w:val="24"/>
                <w:szCs w:val="24"/>
              </w:rPr>
            </w:pPr>
            <w:r>
              <w:rPr>
                <w:rFonts w:hint="eastAsia" w:ascii="宋体" w:hAnsi="宋体" w:eastAsia="宋体" w:cs="宋体"/>
                <w:i w:val="0"/>
                <w:color w:val="000000"/>
                <w:kern w:val="0"/>
                <w:sz w:val="21"/>
                <w:szCs w:val="21"/>
                <w:u w:val="none"/>
                <w:lang w:val="en-US" w:eastAsia="zh-CN" w:bidi="ar"/>
              </w:rPr>
              <w:t>0.16%</w:t>
            </w:r>
          </w:p>
        </w:tc>
      </w:tr>
      <w:tr>
        <w:tblPrEx>
          <w:tblCellMar>
            <w:top w:w="0" w:type="dxa"/>
            <w:left w:w="108" w:type="dxa"/>
            <w:bottom w:w="0" w:type="dxa"/>
            <w:right w:w="108" w:type="dxa"/>
          </w:tblCellMar>
        </w:tblPrEx>
        <w:trPr>
          <w:trHeight w:val="624" w:hRule="exact"/>
        </w:trPr>
        <w:tc>
          <w:tcPr>
            <w:tcW w:w="239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i w:val="0"/>
                <w:color w:val="000000"/>
                <w:kern w:val="0"/>
                <w:sz w:val="22"/>
                <w:szCs w:val="22"/>
                <w:u w:val="none"/>
                <w:lang w:val="en-US" w:eastAsia="zh-CN" w:bidi="ar"/>
              </w:rPr>
              <w:t>合计</w:t>
            </w:r>
          </w:p>
        </w:tc>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i w:val="0"/>
                <w:color w:val="000000"/>
                <w:kern w:val="0"/>
                <w:sz w:val="22"/>
                <w:szCs w:val="22"/>
                <w:u w:val="none"/>
                <w:lang w:val="en-US" w:eastAsia="zh-CN" w:bidi="ar"/>
              </w:rPr>
              <w:t>350</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i w:val="0"/>
                <w:color w:val="000000"/>
                <w:kern w:val="0"/>
                <w:sz w:val="22"/>
                <w:szCs w:val="22"/>
                <w:u w:val="none"/>
                <w:lang w:val="en-US" w:eastAsia="zh-CN" w:bidi="ar"/>
              </w:rPr>
              <w:t>4620</w:t>
            </w:r>
          </w:p>
        </w:tc>
        <w:tc>
          <w:tcPr>
            <w:tcW w:w="13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sz w:val="22"/>
                <w:szCs w:val="22"/>
                <w:lang w:bidi="ar"/>
              </w:rPr>
            </w:pPr>
            <w:r>
              <w:rPr>
                <w:rFonts w:hint="eastAsia" w:ascii="仿宋" w:hAnsi="仿宋" w:eastAsia="仿宋" w:cs="仿宋"/>
                <w:i w:val="0"/>
                <w:color w:val="auto"/>
                <w:kern w:val="0"/>
                <w:sz w:val="22"/>
                <w:szCs w:val="22"/>
                <w:u w:val="none"/>
                <w:lang w:val="en-US" w:eastAsia="zh-CN" w:bidi="ar"/>
              </w:rPr>
              <w:t>654</w:t>
            </w: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auto"/>
                <w:kern w:val="0"/>
                <w:sz w:val="22"/>
                <w:szCs w:val="22"/>
                <w:lang w:bidi="ar"/>
              </w:rPr>
            </w:pPr>
            <w:r>
              <w:rPr>
                <w:rFonts w:hint="eastAsia" w:ascii="仿宋" w:hAnsi="仿宋" w:eastAsia="仿宋" w:cs="仿宋"/>
                <w:i w:val="0"/>
                <w:color w:val="auto"/>
                <w:kern w:val="0"/>
                <w:sz w:val="22"/>
                <w:szCs w:val="22"/>
                <w:u w:val="none"/>
                <w:lang w:val="en-US" w:eastAsia="zh-CN" w:bidi="ar"/>
              </w:rPr>
              <w:t>5625</w:t>
            </w:r>
          </w:p>
        </w:tc>
        <w:tc>
          <w:tcPr>
            <w:tcW w:w="15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华文仿宋" w:hAnsi="华文仿宋" w:eastAsia="华文仿宋" w:cs="华文仿宋"/>
                <w:color w:val="000000"/>
                <w:kern w:val="0"/>
                <w:sz w:val="22"/>
                <w:szCs w:val="22"/>
                <w:lang w:bidi="ar"/>
              </w:rPr>
            </w:pPr>
          </w:p>
        </w:tc>
      </w:tr>
    </w:tbl>
    <w:p>
      <w:pPr>
        <w:outlineLvl w:val="2"/>
        <w:rPr>
          <w:rFonts w:ascii="仿宋_GB2312" w:hAnsi="宋体" w:eastAsia="仿宋_GB2312"/>
          <w:sz w:val="32"/>
          <w:szCs w:val="32"/>
        </w:rPr>
      </w:pPr>
      <w:r>
        <w:rPr>
          <w:rFonts w:hint="eastAsia" w:ascii="仿宋_GB2312" w:hAnsi="宋体" w:eastAsia="仿宋_GB2312"/>
          <w:sz w:val="32"/>
          <w:szCs w:val="32"/>
        </w:rPr>
        <w:t>1.各学历层次毕业生地域流向</w:t>
      </w:r>
      <w:bookmarkEnd w:id="85"/>
      <w:bookmarkEnd w:id="86"/>
    </w:p>
    <w:p>
      <w:pPr>
        <w:ind w:firstLine="640" w:firstLineChars="200"/>
        <w:rPr>
          <w:rFonts w:ascii="仿宋_GB2312" w:hAnsi="仿宋" w:eastAsia="仿宋_GB2312"/>
          <w:sz w:val="32"/>
          <w:szCs w:val="32"/>
        </w:rPr>
      </w:pPr>
      <w:bookmarkStart w:id="87" w:name="_Toc26175725"/>
      <w:bookmarkStart w:id="88" w:name="_Toc26192453"/>
      <w:bookmarkStart w:id="89" w:name="_Toc29749"/>
      <w:r>
        <w:rPr>
          <w:rFonts w:hint="eastAsia" w:ascii="仿宋_GB2312" w:hAnsi="仿宋" w:eastAsia="仿宋_GB2312"/>
          <w:sz w:val="32"/>
          <w:szCs w:val="32"/>
        </w:rPr>
        <w:t>2019届毕业生在河南省郑州市就业的比例维持在较高水平，到河南省其他地市就业的毕业生比例较2018年16</w:t>
      </w:r>
      <w:r>
        <w:rPr>
          <w:rFonts w:ascii="仿宋_GB2312" w:hAnsi="仿宋" w:eastAsia="仿宋_GB2312"/>
          <w:sz w:val="32"/>
          <w:szCs w:val="32"/>
        </w:rPr>
        <w:t>.07</w:t>
      </w:r>
      <w:r>
        <w:rPr>
          <w:rFonts w:hint="eastAsia" w:ascii="仿宋_GB2312" w:hAnsi="仿宋" w:eastAsia="仿宋_GB2312"/>
          <w:sz w:val="32"/>
          <w:szCs w:val="32"/>
        </w:rPr>
        <w:t>%上升了7</w:t>
      </w:r>
      <w:r>
        <w:rPr>
          <w:rFonts w:ascii="仿宋_GB2312" w:hAnsi="仿宋" w:eastAsia="仿宋_GB2312"/>
          <w:sz w:val="32"/>
          <w:szCs w:val="32"/>
        </w:rPr>
        <w:t>.2</w:t>
      </w:r>
      <w:r>
        <w:rPr>
          <w:rFonts w:hint="eastAsia" w:ascii="仿宋_GB2312" w:hAnsi="仿宋" w:eastAsia="仿宋_GB2312"/>
          <w:sz w:val="32"/>
          <w:szCs w:val="32"/>
        </w:rPr>
        <w:t>个百分点，到浙江、江苏、广东三个沿海地区和安徽、河北、山东三个就近地区就业较高</w:t>
      </w:r>
      <w:bookmarkEnd w:id="87"/>
      <w:bookmarkEnd w:id="88"/>
      <w:r>
        <w:rPr>
          <w:rFonts w:hint="eastAsia" w:ascii="仿宋_GB2312" w:hAnsi="仿宋" w:eastAsia="仿宋_GB2312"/>
          <w:sz w:val="32"/>
          <w:szCs w:val="32"/>
        </w:rPr>
        <w:t>，与2</w:t>
      </w:r>
      <w:r>
        <w:rPr>
          <w:rFonts w:ascii="仿宋_GB2312" w:hAnsi="仿宋" w:eastAsia="仿宋_GB2312"/>
          <w:sz w:val="32"/>
          <w:szCs w:val="32"/>
        </w:rPr>
        <w:t>018</w:t>
      </w:r>
      <w:r>
        <w:rPr>
          <w:rFonts w:hint="eastAsia" w:ascii="仿宋_GB2312" w:hAnsi="仿宋" w:eastAsia="仿宋_GB2312"/>
          <w:sz w:val="32"/>
          <w:szCs w:val="32"/>
        </w:rPr>
        <w:t>年相比到北京（6</w:t>
      </w:r>
      <w:r>
        <w:rPr>
          <w:rFonts w:ascii="仿宋_GB2312" w:hAnsi="仿宋" w:eastAsia="仿宋_GB2312"/>
          <w:sz w:val="32"/>
          <w:szCs w:val="32"/>
        </w:rPr>
        <w:t>.42</w:t>
      </w:r>
      <w:r>
        <w:rPr>
          <w:rFonts w:hint="eastAsia" w:ascii="仿宋_GB2312" w:hAnsi="仿宋" w:eastAsia="仿宋_GB2312"/>
          <w:sz w:val="32"/>
          <w:szCs w:val="32"/>
        </w:rPr>
        <w:t>%）、上海（5</w:t>
      </w:r>
      <w:r>
        <w:rPr>
          <w:rFonts w:ascii="仿宋_GB2312" w:hAnsi="仿宋" w:eastAsia="仿宋_GB2312"/>
          <w:sz w:val="32"/>
          <w:szCs w:val="32"/>
        </w:rPr>
        <w:t>.10</w:t>
      </w:r>
      <w:r>
        <w:rPr>
          <w:rFonts w:hint="eastAsia" w:ascii="仿宋_GB2312" w:hAnsi="仿宋" w:eastAsia="仿宋_GB2312"/>
          <w:sz w:val="32"/>
          <w:szCs w:val="32"/>
        </w:rPr>
        <w:t>%）两个地区就业比例有较大幅度下降。</w:t>
      </w:r>
    </w:p>
    <w:bookmarkEnd w:id="89"/>
    <w:tbl>
      <w:tblPr>
        <w:tblStyle w:val="19"/>
        <w:tblpPr w:leftFromText="180" w:rightFromText="180" w:vertAnchor="text" w:horzAnchor="page" w:tblpX="1788" w:tblpY="1230"/>
        <w:tblOverlap w:val="never"/>
        <w:tblW w:w="8880" w:type="dxa"/>
        <w:tblInd w:w="0" w:type="dxa"/>
        <w:tblLayout w:type="fixed"/>
        <w:tblCellMar>
          <w:top w:w="15" w:type="dxa"/>
          <w:left w:w="15" w:type="dxa"/>
          <w:bottom w:w="15" w:type="dxa"/>
          <w:right w:w="15" w:type="dxa"/>
        </w:tblCellMar>
      </w:tblPr>
      <w:tblGrid>
        <w:gridCol w:w="3507"/>
        <w:gridCol w:w="1075"/>
        <w:gridCol w:w="1074"/>
        <w:gridCol w:w="1076"/>
        <w:gridCol w:w="1074"/>
        <w:gridCol w:w="1074"/>
      </w:tblGrid>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4472C4" w:fill="4BACC6"/>
            <w:vAlign w:val="center"/>
          </w:tcPr>
          <w:p>
            <w:pPr>
              <w:widowControl/>
              <w:jc w:val="center"/>
              <w:textAlignment w:val="center"/>
              <w:rPr>
                <w:rFonts w:ascii="宋体" w:hAnsi="宋体" w:cs="宋体"/>
                <w:bCs/>
                <w:color w:val="FFFFFF"/>
                <w:sz w:val="24"/>
                <w:szCs w:val="24"/>
              </w:rPr>
            </w:pPr>
            <w:bookmarkStart w:id="90" w:name="_Toc3839"/>
            <w:bookmarkStart w:id="91" w:name="_Toc20141"/>
            <w:bookmarkStart w:id="92" w:name="_Toc15702"/>
            <w:bookmarkStart w:id="93" w:name="_Toc9437"/>
            <w:bookmarkStart w:id="94" w:name="_Toc8796"/>
            <w:bookmarkStart w:id="95" w:name="_Toc12451"/>
            <w:bookmarkStart w:id="96" w:name="_Toc8470"/>
            <w:r>
              <w:rPr>
                <w:rFonts w:hint="eastAsia" w:ascii="宋体" w:hAnsi="宋体" w:cs="宋体"/>
                <w:bCs/>
                <w:color w:val="FFFFFF"/>
                <w:kern w:val="0"/>
                <w:sz w:val="24"/>
                <w:szCs w:val="24"/>
                <w:lang w:bidi="ar"/>
              </w:rPr>
              <w:t>单位行业</w:t>
            </w:r>
          </w:p>
        </w:tc>
        <w:tc>
          <w:tcPr>
            <w:tcW w:w="1075" w:type="dxa"/>
            <w:tcBorders>
              <w:top w:val="single" w:color="4BACC6" w:sz="8" w:space="0"/>
              <w:left w:val="dotted" w:color="auto" w:sz="8" w:space="0"/>
              <w:bottom w:val="single" w:color="4BACC6" w:sz="8" w:space="0"/>
              <w:right w:val="dotted" w:color="auto" w:sz="8" w:space="0"/>
            </w:tcBorders>
            <w:shd w:val="clear" w:color="4472C4" w:fill="4BACC6"/>
            <w:vAlign w:val="center"/>
          </w:tcPr>
          <w:p>
            <w:pPr>
              <w:widowControl/>
              <w:jc w:val="center"/>
              <w:textAlignment w:val="center"/>
              <w:rPr>
                <w:bCs/>
                <w:color w:val="FFFFFF"/>
                <w:sz w:val="24"/>
                <w:szCs w:val="24"/>
              </w:rPr>
            </w:pPr>
            <w:r>
              <w:rPr>
                <w:rFonts w:hint="eastAsia" w:ascii="宋体" w:hAnsi="宋体" w:cs="宋体"/>
                <w:bCs/>
                <w:color w:val="000000"/>
                <w:kern w:val="0"/>
                <w:sz w:val="24"/>
                <w:szCs w:val="24"/>
                <w:lang w:bidi="ar"/>
              </w:rPr>
              <w:t>硕士生毕业</w:t>
            </w:r>
          </w:p>
        </w:tc>
        <w:tc>
          <w:tcPr>
            <w:tcW w:w="1074" w:type="dxa"/>
            <w:tcBorders>
              <w:top w:val="single" w:color="4BACC6" w:sz="8" w:space="0"/>
              <w:left w:val="dotted" w:color="auto" w:sz="8" w:space="0"/>
              <w:bottom w:val="single" w:color="4BACC6" w:sz="8" w:space="0"/>
              <w:right w:val="dotted" w:color="auto" w:sz="8" w:space="0"/>
            </w:tcBorders>
            <w:shd w:val="clear" w:color="4472C4" w:fill="4BACC6"/>
            <w:vAlign w:val="center"/>
          </w:tcPr>
          <w:p>
            <w:pPr>
              <w:widowControl/>
              <w:jc w:val="center"/>
              <w:textAlignment w:val="center"/>
              <w:rPr>
                <w:bCs/>
                <w:color w:val="FFFFFF"/>
                <w:sz w:val="24"/>
                <w:szCs w:val="24"/>
              </w:rPr>
            </w:pPr>
            <w:r>
              <w:rPr>
                <w:rFonts w:hint="eastAsia" w:ascii="宋体" w:hAnsi="宋体" w:cs="宋体"/>
                <w:bCs/>
                <w:color w:val="000000"/>
                <w:kern w:val="0"/>
                <w:sz w:val="24"/>
                <w:szCs w:val="24"/>
                <w:lang w:bidi="ar"/>
              </w:rPr>
              <w:t>本科毕业生</w:t>
            </w:r>
          </w:p>
        </w:tc>
        <w:tc>
          <w:tcPr>
            <w:tcW w:w="1076" w:type="dxa"/>
            <w:tcBorders>
              <w:top w:val="single" w:color="4BACC6" w:sz="8" w:space="0"/>
              <w:left w:val="dotted" w:color="auto" w:sz="8" w:space="0"/>
              <w:bottom w:val="single" w:color="4BACC6" w:sz="8" w:space="0"/>
              <w:right w:val="dotted" w:color="auto" w:sz="8" w:space="0"/>
            </w:tcBorders>
            <w:shd w:val="clear" w:color="4472C4" w:fill="4BACC6"/>
            <w:vAlign w:val="center"/>
          </w:tcPr>
          <w:p>
            <w:pPr>
              <w:widowControl/>
              <w:jc w:val="center"/>
              <w:textAlignment w:val="center"/>
              <w:rPr>
                <w:rFonts w:ascii="宋体" w:hAnsi="宋体" w:cs="宋体"/>
                <w:bCs/>
                <w:color w:val="FFFFFF"/>
                <w:sz w:val="24"/>
                <w:szCs w:val="24"/>
              </w:rPr>
            </w:pPr>
            <w:r>
              <w:rPr>
                <w:rFonts w:hint="eastAsia" w:ascii="宋体" w:hAnsi="宋体" w:cs="宋体"/>
                <w:bCs/>
                <w:color w:val="000000"/>
                <w:kern w:val="0"/>
                <w:sz w:val="24"/>
                <w:szCs w:val="24"/>
                <w:lang w:bidi="ar"/>
              </w:rPr>
              <w:t>专科毕业生</w:t>
            </w:r>
          </w:p>
        </w:tc>
        <w:tc>
          <w:tcPr>
            <w:tcW w:w="1074" w:type="dxa"/>
            <w:tcBorders>
              <w:top w:val="single" w:color="4BACC6" w:sz="8" w:space="0"/>
              <w:left w:val="dotted" w:color="auto" w:sz="8" w:space="0"/>
              <w:bottom w:val="single" w:color="4BACC6" w:sz="8" w:space="0"/>
              <w:right w:val="dotted" w:color="auto" w:sz="8" w:space="0"/>
            </w:tcBorders>
            <w:shd w:val="clear" w:color="4472C4" w:fill="4BACC6"/>
            <w:vAlign w:val="center"/>
          </w:tcPr>
          <w:p>
            <w:pPr>
              <w:widowControl/>
              <w:jc w:val="center"/>
              <w:textAlignment w:val="center"/>
              <w:rPr>
                <w:rFonts w:ascii="宋体" w:hAnsi="宋体" w:cs="宋体"/>
                <w:bCs/>
                <w:color w:val="FFFFFF"/>
                <w:sz w:val="24"/>
                <w:szCs w:val="24"/>
              </w:rPr>
            </w:pPr>
            <w:r>
              <w:rPr>
                <w:rFonts w:hint="eastAsia" w:ascii="宋体" w:hAnsi="宋体" w:cs="宋体"/>
                <w:bCs/>
                <w:color w:val="000000"/>
                <w:kern w:val="0"/>
                <w:sz w:val="24"/>
                <w:szCs w:val="24"/>
                <w:lang w:bidi="ar"/>
              </w:rPr>
              <w:t>合计</w:t>
            </w:r>
          </w:p>
        </w:tc>
        <w:tc>
          <w:tcPr>
            <w:tcW w:w="1074" w:type="dxa"/>
            <w:tcBorders>
              <w:top w:val="single" w:color="4BACC6" w:sz="8" w:space="0"/>
              <w:left w:val="dotted" w:color="auto" w:sz="8" w:space="0"/>
              <w:bottom w:val="single" w:color="4BACC6" w:sz="8" w:space="0"/>
              <w:right w:val="single" w:color="4BACC6" w:sz="8" w:space="0"/>
            </w:tcBorders>
            <w:shd w:val="clear" w:color="4472C4" w:fill="4BACC6"/>
            <w:vAlign w:val="center"/>
          </w:tcPr>
          <w:p>
            <w:pPr>
              <w:widowControl/>
              <w:jc w:val="center"/>
              <w:textAlignment w:val="center"/>
              <w:rPr>
                <w:rFonts w:ascii="宋体" w:hAnsi="宋体" w:cs="宋体"/>
                <w:bCs/>
                <w:color w:val="FFFFFF"/>
                <w:sz w:val="24"/>
                <w:szCs w:val="24"/>
              </w:rPr>
            </w:pPr>
            <w:r>
              <w:rPr>
                <w:rFonts w:hint="eastAsia" w:ascii="宋体" w:hAnsi="宋体" w:cs="宋体"/>
                <w:bCs/>
                <w:color w:val="000000"/>
                <w:kern w:val="0"/>
                <w:sz w:val="24"/>
                <w:szCs w:val="24"/>
                <w:lang w:bidi="ar"/>
              </w:rPr>
              <w:t>比例</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制造业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70</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1115</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73</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1258</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w:t>
            </w:r>
            <w:r>
              <w:rPr>
                <w:rFonts w:hint="eastAsia" w:ascii="宋体" w:hAnsi="宋体" w:cs="宋体"/>
                <w:bCs/>
                <w:color w:val="000000"/>
                <w:kern w:val="0"/>
                <w:sz w:val="24"/>
                <w:szCs w:val="24"/>
                <w:lang w:val="en-US" w:eastAsia="zh-CN" w:bidi="ar"/>
              </w:rPr>
              <w:t>2.36</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信息传输、软件和信息技术服务业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26</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760</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104</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890</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15.</w:t>
            </w:r>
            <w:r>
              <w:rPr>
                <w:rFonts w:hint="eastAsia" w:ascii="宋体" w:hAnsi="宋体" w:cs="宋体"/>
                <w:bCs/>
                <w:color w:val="000000"/>
                <w:kern w:val="0"/>
                <w:sz w:val="24"/>
                <w:szCs w:val="24"/>
                <w:lang w:val="en-US" w:eastAsia="zh-CN" w:bidi="ar"/>
              </w:rPr>
              <w:t>82</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建筑业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24</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645</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87</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756</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13</w:t>
            </w:r>
            <w:r>
              <w:rPr>
                <w:rFonts w:hint="eastAsia" w:ascii="宋体" w:hAnsi="宋体" w:cs="宋体"/>
                <w:bCs/>
                <w:color w:val="000000"/>
                <w:kern w:val="0"/>
                <w:sz w:val="24"/>
                <w:szCs w:val="24"/>
                <w:lang w:val="en-US" w:eastAsia="zh-CN" w:bidi="ar"/>
              </w:rPr>
              <w:t>.44</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批发和零售业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16</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336</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167</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519</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9.</w:t>
            </w:r>
            <w:r>
              <w:rPr>
                <w:rFonts w:hint="eastAsia" w:ascii="宋体" w:hAnsi="宋体" w:cs="宋体"/>
                <w:bCs/>
                <w:color w:val="000000"/>
                <w:kern w:val="0"/>
                <w:sz w:val="24"/>
                <w:szCs w:val="24"/>
                <w:lang w:val="en-US" w:eastAsia="zh-CN" w:bidi="ar"/>
              </w:rPr>
              <w:t>23</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农、林、牧、渔业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47</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hint="default" w:eastAsia="宋体"/>
                <w:bCs/>
                <w:color w:val="000000"/>
                <w:sz w:val="24"/>
                <w:szCs w:val="24"/>
                <w:lang w:val="en-US" w:eastAsia="zh-CN"/>
              </w:rPr>
            </w:pPr>
            <w:r>
              <w:rPr>
                <w:rFonts w:hint="eastAsia" w:asciiTheme="majorEastAsia" w:hAnsiTheme="majorEastAsia" w:eastAsiaTheme="majorEastAsia" w:cstheme="majorEastAsia"/>
                <w:bCs/>
                <w:color w:val="000000"/>
                <w:sz w:val="21"/>
                <w:szCs w:val="21"/>
                <w:lang w:val="en-US" w:eastAsia="zh-CN"/>
              </w:rPr>
              <w:t>299</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7</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hint="eastAsia" w:ascii="宋体" w:hAnsi="宋体" w:eastAsia="宋体" w:cs="宋体"/>
                <w:bCs/>
                <w:color w:val="000000"/>
                <w:sz w:val="24"/>
                <w:szCs w:val="24"/>
                <w:lang w:val="en-US" w:eastAsia="zh-CN"/>
              </w:rPr>
            </w:pPr>
            <w:r>
              <w:rPr>
                <w:rFonts w:hint="eastAsia" w:ascii="宋体" w:hAnsi="宋体" w:cs="宋体"/>
                <w:bCs/>
                <w:color w:val="000000"/>
                <w:kern w:val="0"/>
                <w:sz w:val="24"/>
                <w:szCs w:val="24"/>
                <w:lang w:bidi="ar"/>
              </w:rPr>
              <w:t>35</w:t>
            </w:r>
            <w:r>
              <w:rPr>
                <w:rFonts w:hint="eastAsia" w:ascii="宋体" w:hAnsi="宋体" w:cs="宋体"/>
                <w:bCs/>
                <w:color w:val="000000"/>
                <w:kern w:val="0"/>
                <w:sz w:val="24"/>
                <w:szCs w:val="24"/>
                <w:lang w:val="en-US" w:eastAsia="zh-CN" w:bidi="ar"/>
              </w:rPr>
              <w:t>3</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6.2</w:t>
            </w:r>
            <w:r>
              <w:rPr>
                <w:rFonts w:hint="eastAsia" w:ascii="宋体" w:hAnsi="宋体" w:cs="宋体"/>
                <w:bCs/>
                <w:color w:val="000000"/>
                <w:kern w:val="0"/>
                <w:sz w:val="24"/>
                <w:szCs w:val="24"/>
                <w:lang w:val="en-US" w:eastAsia="zh-CN" w:bidi="ar"/>
              </w:rPr>
              <w:t>8</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租赁和商务服务业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16</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190</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62</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268</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4.7</w:t>
            </w:r>
            <w:r>
              <w:rPr>
                <w:rFonts w:hint="eastAsia" w:ascii="宋体" w:hAnsi="宋体" w:cs="宋体"/>
                <w:bCs/>
                <w:color w:val="000000"/>
                <w:kern w:val="0"/>
                <w:sz w:val="24"/>
                <w:szCs w:val="24"/>
                <w:lang w:val="en-US" w:eastAsia="zh-CN" w:bidi="ar"/>
              </w:rPr>
              <w:t>6</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交通运输、仓储和邮政业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11</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115</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11</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137</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2.4</w:t>
            </w:r>
            <w:r>
              <w:rPr>
                <w:rFonts w:hint="eastAsia" w:ascii="宋体" w:hAnsi="宋体" w:cs="宋体"/>
                <w:bCs/>
                <w:color w:val="000000"/>
                <w:kern w:val="0"/>
                <w:sz w:val="24"/>
                <w:szCs w:val="24"/>
                <w:lang w:val="en-US" w:eastAsia="zh-CN" w:bidi="ar"/>
              </w:rPr>
              <w:t>4</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金融业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22</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152</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7</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181</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3.</w:t>
            </w:r>
            <w:r>
              <w:rPr>
                <w:rFonts w:hint="eastAsia" w:ascii="宋体" w:hAnsi="宋体" w:cs="宋体"/>
                <w:bCs/>
                <w:color w:val="000000"/>
                <w:kern w:val="0"/>
                <w:sz w:val="24"/>
                <w:szCs w:val="24"/>
                <w:lang w:val="en-US" w:eastAsia="zh-CN" w:bidi="ar"/>
              </w:rPr>
              <w:t>22</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文化、体育和娱乐业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5</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214</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25</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244</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4.</w:t>
            </w:r>
            <w:r>
              <w:rPr>
                <w:rFonts w:hint="eastAsia" w:ascii="宋体" w:hAnsi="宋体" w:cs="宋体"/>
                <w:bCs/>
                <w:color w:val="000000"/>
                <w:kern w:val="0"/>
                <w:sz w:val="24"/>
                <w:szCs w:val="24"/>
                <w:lang w:val="en-US" w:eastAsia="zh-CN" w:bidi="ar"/>
              </w:rPr>
              <w:t>34</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科学研究和技术服务业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39</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141</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22</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202</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3.5</w:t>
            </w:r>
            <w:r>
              <w:rPr>
                <w:rFonts w:hint="eastAsia" w:ascii="宋体" w:hAnsi="宋体" w:cs="宋体"/>
                <w:bCs/>
                <w:color w:val="000000"/>
                <w:kern w:val="0"/>
                <w:sz w:val="24"/>
                <w:szCs w:val="24"/>
                <w:lang w:val="en-US" w:eastAsia="zh-CN" w:bidi="ar"/>
              </w:rPr>
              <w:t>9</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居民服务、修理和其他服务业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4</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73</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16</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93</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1.6</w:t>
            </w:r>
            <w:r>
              <w:rPr>
                <w:rFonts w:hint="eastAsia" w:ascii="宋体" w:hAnsi="宋体" w:cs="宋体"/>
                <w:bCs/>
                <w:color w:val="000000"/>
                <w:kern w:val="0"/>
                <w:sz w:val="24"/>
                <w:szCs w:val="24"/>
                <w:lang w:val="en-US" w:eastAsia="zh-CN" w:bidi="ar"/>
              </w:rPr>
              <w:t>5</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教育</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33</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hint="eastAsia" w:eastAsia="宋体"/>
                <w:bCs/>
                <w:color w:val="000000"/>
                <w:sz w:val="24"/>
                <w:szCs w:val="24"/>
                <w:lang w:val="en-US" w:eastAsia="zh-CN"/>
              </w:rPr>
            </w:pPr>
            <w:r>
              <w:rPr>
                <w:rFonts w:hint="eastAsia" w:ascii="宋体" w:hAnsi="宋体" w:cs="宋体"/>
                <w:bCs/>
                <w:color w:val="000000"/>
                <w:kern w:val="0"/>
                <w:sz w:val="24"/>
                <w:szCs w:val="24"/>
                <w:lang w:val="en-US" w:eastAsia="zh-CN" w:bidi="ar"/>
              </w:rPr>
              <w:t>1</w:t>
            </w:r>
            <w:r>
              <w:rPr>
                <w:rFonts w:hint="eastAsia" w:ascii="宋体" w:hAnsi="宋体" w:cs="宋体"/>
                <w:bCs/>
                <w:color w:val="000000"/>
                <w:kern w:val="0"/>
                <w:sz w:val="24"/>
                <w:szCs w:val="24"/>
                <w:lang w:bidi="ar"/>
              </w:rPr>
              <w:t>9</w:t>
            </w:r>
            <w:r>
              <w:rPr>
                <w:rFonts w:hint="eastAsia" w:ascii="宋体" w:hAnsi="宋体" w:cs="宋体"/>
                <w:bCs/>
                <w:color w:val="000000"/>
                <w:kern w:val="0"/>
                <w:sz w:val="24"/>
                <w:szCs w:val="24"/>
                <w:lang w:val="en-US" w:eastAsia="zh-CN" w:bidi="ar"/>
              </w:rPr>
              <w:t>5</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14</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306</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val="en-US" w:eastAsia="zh-CN" w:bidi="ar"/>
              </w:rPr>
              <w:t>5.44</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电力、热力、燃气及水生产和供应业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7</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165</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174</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val="en-US" w:eastAsia="zh-CN" w:bidi="ar"/>
              </w:rPr>
              <w:t>3.09</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公共管理、社会保障和社会组织</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14</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45</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7</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66</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1.1</w:t>
            </w:r>
            <w:r>
              <w:rPr>
                <w:rFonts w:hint="eastAsia" w:ascii="宋体" w:hAnsi="宋体" w:cs="宋体"/>
                <w:bCs/>
                <w:color w:val="000000"/>
                <w:kern w:val="0"/>
                <w:sz w:val="24"/>
                <w:szCs w:val="24"/>
                <w:lang w:val="en-US" w:eastAsia="zh-CN" w:bidi="ar"/>
              </w:rPr>
              <w:t>7</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房地产业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9</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69</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25</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103</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1.8</w:t>
            </w:r>
            <w:r>
              <w:rPr>
                <w:rFonts w:hint="eastAsia" w:ascii="宋体" w:hAnsi="宋体" w:cs="宋体"/>
                <w:bCs/>
                <w:color w:val="000000"/>
                <w:kern w:val="0"/>
                <w:sz w:val="24"/>
                <w:szCs w:val="24"/>
                <w:lang w:val="en-US" w:eastAsia="zh-CN" w:bidi="ar"/>
              </w:rPr>
              <w:t>3</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住宿和餐饮业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jc w:val="center"/>
              <w:rPr>
                <w:bCs/>
                <w:color w:val="000000"/>
                <w:sz w:val="24"/>
                <w:szCs w:val="24"/>
              </w:rPr>
            </w:pP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45</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13</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58</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1.0</w:t>
            </w:r>
            <w:r>
              <w:rPr>
                <w:rFonts w:hint="eastAsia" w:ascii="宋体" w:hAnsi="宋体" w:cs="宋体"/>
                <w:bCs/>
                <w:color w:val="000000"/>
                <w:kern w:val="0"/>
                <w:sz w:val="24"/>
                <w:szCs w:val="24"/>
                <w:lang w:val="en-US" w:eastAsia="zh-CN" w:bidi="ar"/>
              </w:rPr>
              <w:t>3</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卫生和社会工作</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4</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20</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jc w:val="center"/>
              <w:rPr>
                <w:rFonts w:ascii="宋体" w:hAnsi="宋体" w:cs="宋体"/>
                <w:bCs/>
                <w:color w:val="000000"/>
                <w:sz w:val="24"/>
                <w:szCs w:val="24"/>
              </w:rPr>
            </w:pP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24</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0.42%</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水利、环境和公共设施管理业</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jc w:val="center"/>
              <w:rPr>
                <w:bCs/>
                <w:color w:val="000000"/>
                <w:sz w:val="24"/>
                <w:szCs w:val="24"/>
              </w:rPr>
            </w:pP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21</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6</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27</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0.4</w:t>
            </w:r>
            <w:r>
              <w:rPr>
                <w:rFonts w:hint="eastAsia" w:ascii="宋体" w:hAnsi="宋体" w:cs="宋体"/>
                <w:bCs/>
                <w:color w:val="000000"/>
                <w:kern w:val="0"/>
                <w:sz w:val="24"/>
                <w:szCs w:val="24"/>
                <w:lang w:val="en-US" w:eastAsia="zh-CN" w:bidi="ar"/>
              </w:rPr>
              <w:t>8</w:t>
            </w:r>
            <w:r>
              <w:rPr>
                <w:rFonts w:hint="eastAsia" w:ascii="宋体" w:hAnsi="宋体" w:cs="宋体"/>
                <w:bCs/>
                <w:color w:val="000000"/>
                <w:kern w:val="0"/>
                <w:sz w:val="24"/>
                <w:szCs w:val="24"/>
                <w:lang w:bidi="ar"/>
              </w:rPr>
              <w:t>%</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D9E1F2"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采矿业</w:t>
            </w:r>
          </w:p>
        </w:tc>
        <w:tc>
          <w:tcPr>
            <w:tcW w:w="1075"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bCs/>
                <w:color w:val="000000"/>
                <w:kern w:val="0"/>
                <w:sz w:val="24"/>
                <w:szCs w:val="24"/>
                <w:lang w:bidi="ar"/>
              </w:rPr>
              <w:t>3</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15</w:t>
            </w:r>
          </w:p>
        </w:tc>
        <w:tc>
          <w:tcPr>
            <w:tcW w:w="1076"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w:t>
            </w:r>
          </w:p>
        </w:tc>
        <w:tc>
          <w:tcPr>
            <w:tcW w:w="1074" w:type="dxa"/>
            <w:tcBorders>
              <w:top w:val="single" w:color="4BACC6" w:sz="8" w:space="0"/>
              <w:left w:val="dotted" w:color="auto" w:sz="8" w:space="0"/>
              <w:bottom w:val="single" w:color="4BACC6" w:sz="8" w:space="0"/>
              <w:right w:val="dotted" w:color="auto"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19</w:t>
            </w:r>
          </w:p>
        </w:tc>
        <w:tc>
          <w:tcPr>
            <w:tcW w:w="1074" w:type="dxa"/>
            <w:tcBorders>
              <w:top w:val="single" w:color="4BACC6" w:sz="8" w:space="0"/>
              <w:left w:val="dotted" w:color="auto" w:sz="8" w:space="0"/>
              <w:bottom w:val="single" w:color="4BACC6" w:sz="8" w:space="0"/>
              <w:right w:val="single" w:color="4BACC6" w:sz="8" w:space="0"/>
            </w:tcBorders>
            <w:shd w:val="clear" w:color="D9E1F2"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0.33%</w:t>
            </w:r>
          </w:p>
        </w:tc>
      </w:tr>
      <w:tr>
        <w:tblPrEx>
          <w:tblCellMar>
            <w:top w:w="15" w:type="dxa"/>
            <w:left w:w="15" w:type="dxa"/>
            <w:bottom w:w="15" w:type="dxa"/>
            <w:right w:w="15" w:type="dxa"/>
          </w:tblCellMar>
        </w:tblPrEx>
        <w:trPr>
          <w:trHeight w:val="415"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left"/>
              <w:textAlignment w:val="center"/>
              <w:rPr>
                <w:rFonts w:ascii="宋体" w:hAnsi="宋体" w:cs="宋体"/>
                <w:bCs/>
                <w:color w:val="000000"/>
                <w:sz w:val="24"/>
                <w:szCs w:val="24"/>
              </w:rPr>
            </w:pPr>
            <w:r>
              <w:rPr>
                <w:rFonts w:hint="eastAsia" w:ascii="宋体" w:hAnsi="宋体" w:cs="宋体"/>
                <w:bCs/>
                <w:color w:val="000000"/>
                <w:kern w:val="0"/>
                <w:sz w:val="24"/>
                <w:szCs w:val="24"/>
                <w:lang w:bidi="ar"/>
              </w:rPr>
              <w:t>军队</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jc w:val="center"/>
              <w:rPr>
                <w:bCs/>
                <w:color w:val="000000"/>
                <w:sz w:val="24"/>
                <w:szCs w:val="24"/>
              </w:rPr>
            </w:pP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000000"/>
                <w:sz w:val="24"/>
                <w:szCs w:val="24"/>
              </w:rPr>
            </w:pPr>
            <w:r>
              <w:rPr>
                <w:rFonts w:hint="eastAsia" w:ascii="宋体" w:hAnsi="宋体" w:cs="宋体"/>
                <w:bCs/>
                <w:color w:val="000000"/>
                <w:kern w:val="0"/>
                <w:sz w:val="24"/>
                <w:szCs w:val="24"/>
                <w:lang w:bidi="ar"/>
              </w:rPr>
              <w:t>5</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5</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10</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000000"/>
                <w:sz w:val="24"/>
                <w:szCs w:val="24"/>
              </w:rPr>
            </w:pPr>
            <w:r>
              <w:rPr>
                <w:rFonts w:hint="eastAsia" w:ascii="宋体" w:hAnsi="宋体" w:cs="宋体"/>
                <w:bCs/>
                <w:color w:val="000000"/>
                <w:kern w:val="0"/>
                <w:sz w:val="24"/>
                <w:szCs w:val="24"/>
                <w:lang w:bidi="ar"/>
              </w:rPr>
              <w:t>0.18%</w:t>
            </w:r>
          </w:p>
        </w:tc>
      </w:tr>
      <w:tr>
        <w:tblPrEx>
          <w:tblCellMar>
            <w:top w:w="15" w:type="dxa"/>
            <w:left w:w="15" w:type="dxa"/>
            <w:bottom w:w="15" w:type="dxa"/>
            <w:right w:w="15" w:type="dxa"/>
          </w:tblCellMar>
        </w:tblPrEx>
        <w:trPr>
          <w:trHeight w:val="441" w:hRule="atLeast"/>
        </w:trPr>
        <w:tc>
          <w:tcPr>
            <w:tcW w:w="3507" w:type="dxa"/>
            <w:tcBorders>
              <w:top w:val="single" w:color="4BACC6" w:sz="8" w:space="0"/>
              <w:left w:val="single" w:color="4BACC6"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FFFFFF" w:themeColor="background1"/>
                <w:sz w:val="24"/>
                <w:szCs w:val="24"/>
                <w14:textFill>
                  <w14:solidFill>
                    <w14:schemeClr w14:val="bg1"/>
                  </w14:solidFill>
                </w14:textFill>
              </w:rPr>
            </w:pPr>
            <w:r>
              <w:rPr>
                <w:rFonts w:hint="eastAsia" w:ascii="宋体" w:hAnsi="宋体" w:cs="宋体"/>
                <w:bCs/>
                <w:color w:val="000000"/>
                <w:kern w:val="0"/>
                <w:sz w:val="24"/>
                <w:szCs w:val="24"/>
                <w:lang w:bidi="ar"/>
              </w:rPr>
              <w:t>合计</w:t>
            </w:r>
          </w:p>
        </w:tc>
        <w:tc>
          <w:tcPr>
            <w:tcW w:w="1075"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bCs/>
                <w:color w:val="FFFFFF" w:themeColor="background1"/>
                <w:sz w:val="24"/>
                <w:szCs w:val="24"/>
                <w14:textFill>
                  <w14:solidFill>
                    <w14:schemeClr w14:val="bg1"/>
                  </w14:solidFill>
                </w14:textFill>
              </w:rPr>
            </w:pPr>
            <w:r>
              <w:rPr>
                <w:rFonts w:hint="eastAsia" w:ascii="宋体" w:hAnsi="宋体" w:cs="宋体"/>
                <w:bCs/>
                <w:color w:val="000000"/>
                <w:kern w:val="0"/>
                <w:sz w:val="24"/>
                <w:szCs w:val="24"/>
                <w:lang w:bidi="ar"/>
              </w:rPr>
              <w:t>350</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hint="default" w:eastAsia="宋体"/>
                <w:bCs/>
                <w:color w:val="FFFFFF" w:themeColor="background1"/>
                <w:sz w:val="24"/>
                <w:szCs w:val="24"/>
                <w:lang w:val="en-US" w:eastAsia="zh-CN"/>
                <w14:textFill>
                  <w14:solidFill>
                    <w14:schemeClr w14:val="bg1"/>
                  </w14:solidFill>
                </w14:textFill>
              </w:rPr>
            </w:pPr>
            <w:r>
              <w:rPr>
                <w:rFonts w:hint="eastAsia" w:ascii="宋体" w:hAnsi="宋体" w:cs="宋体"/>
                <w:bCs/>
                <w:color w:val="000000" w:themeColor="text1"/>
                <w:kern w:val="0"/>
                <w:sz w:val="24"/>
                <w:szCs w:val="24"/>
                <w:lang w:bidi="ar"/>
                <w14:textFill>
                  <w14:solidFill>
                    <w14:schemeClr w14:val="tx1"/>
                  </w14:solidFill>
                </w14:textFill>
              </w:rPr>
              <w:t>4</w:t>
            </w:r>
            <w:r>
              <w:rPr>
                <w:rFonts w:hint="eastAsia" w:ascii="宋体" w:hAnsi="宋体" w:cs="宋体"/>
                <w:bCs/>
                <w:color w:val="000000" w:themeColor="text1"/>
                <w:kern w:val="0"/>
                <w:sz w:val="24"/>
                <w:szCs w:val="24"/>
                <w:lang w:val="en-US" w:eastAsia="zh-CN" w:bidi="ar"/>
                <w14:textFill>
                  <w14:solidFill>
                    <w14:schemeClr w14:val="tx1"/>
                  </w14:solidFill>
                </w14:textFill>
              </w:rPr>
              <w:t>620</w:t>
            </w:r>
          </w:p>
        </w:tc>
        <w:tc>
          <w:tcPr>
            <w:tcW w:w="1076"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ascii="宋体" w:hAnsi="宋体" w:cs="宋体"/>
                <w:bCs/>
                <w:color w:val="FFFFFF" w:themeColor="background1"/>
                <w:sz w:val="24"/>
                <w:szCs w:val="24"/>
                <w14:textFill>
                  <w14:solidFill>
                    <w14:schemeClr w14:val="bg1"/>
                  </w14:solidFill>
                </w14:textFill>
              </w:rPr>
            </w:pPr>
            <w:r>
              <w:rPr>
                <w:rFonts w:hint="eastAsia" w:ascii="宋体" w:hAnsi="宋体" w:cs="宋体"/>
                <w:bCs/>
                <w:color w:val="000000"/>
                <w:kern w:val="0"/>
                <w:sz w:val="24"/>
                <w:szCs w:val="24"/>
                <w:lang w:bidi="ar"/>
              </w:rPr>
              <w:t>654</w:t>
            </w:r>
          </w:p>
        </w:tc>
        <w:tc>
          <w:tcPr>
            <w:tcW w:w="1074" w:type="dxa"/>
            <w:tcBorders>
              <w:top w:val="single" w:color="4BACC6" w:sz="8" w:space="0"/>
              <w:left w:val="dotted" w:color="auto" w:sz="8" w:space="0"/>
              <w:bottom w:val="single" w:color="4BACC6" w:sz="8" w:space="0"/>
              <w:right w:val="dotted" w:color="auto" w:sz="8" w:space="0"/>
            </w:tcBorders>
            <w:shd w:val="clear" w:color="auto" w:fill="FFFFFF"/>
            <w:vAlign w:val="center"/>
          </w:tcPr>
          <w:p>
            <w:pPr>
              <w:widowControl/>
              <w:jc w:val="center"/>
              <w:textAlignment w:val="center"/>
              <w:rPr>
                <w:rFonts w:hint="default" w:ascii="宋体" w:hAnsi="宋体" w:eastAsia="宋体" w:cs="宋体"/>
                <w:bCs/>
                <w:color w:val="FFFFFF" w:themeColor="background1"/>
                <w:sz w:val="24"/>
                <w:szCs w:val="24"/>
                <w:lang w:val="en-US" w:eastAsia="zh-CN"/>
                <w14:textFill>
                  <w14:solidFill>
                    <w14:schemeClr w14:val="bg1"/>
                  </w14:solidFill>
                </w14:textFill>
              </w:rPr>
            </w:pPr>
            <w:r>
              <w:rPr>
                <w:rFonts w:hint="eastAsia" w:ascii="宋体" w:hAnsi="宋体" w:cs="宋体"/>
                <w:bCs/>
                <w:color w:val="auto"/>
                <w:kern w:val="0"/>
                <w:sz w:val="24"/>
                <w:szCs w:val="24"/>
                <w:lang w:bidi="ar"/>
              </w:rPr>
              <w:t>56</w:t>
            </w:r>
            <w:r>
              <w:rPr>
                <w:rFonts w:hint="eastAsia" w:ascii="宋体" w:hAnsi="宋体" w:cs="宋体"/>
                <w:bCs/>
                <w:color w:val="auto"/>
                <w:kern w:val="0"/>
                <w:sz w:val="24"/>
                <w:szCs w:val="24"/>
                <w:lang w:val="en-US" w:eastAsia="zh-CN" w:bidi="ar"/>
              </w:rPr>
              <w:t>25</w:t>
            </w:r>
          </w:p>
        </w:tc>
        <w:tc>
          <w:tcPr>
            <w:tcW w:w="1074" w:type="dxa"/>
            <w:tcBorders>
              <w:top w:val="single" w:color="4BACC6" w:sz="8" w:space="0"/>
              <w:left w:val="dotted" w:color="auto"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Cs/>
                <w:color w:val="FFFFFF" w:themeColor="background1"/>
                <w:sz w:val="24"/>
                <w:szCs w:val="24"/>
                <w14:textFill>
                  <w14:solidFill>
                    <w14:schemeClr w14:val="bg1"/>
                  </w14:solidFill>
                </w14:textFill>
              </w:rPr>
            </w:pPr>
            <w:r>
              <w:rPr>
                <w:rFonts w:hint="eastAsia" w:ascii="宋体" w:hAnsi="宋体" w:cs="宋体"/>
                <w:bCs/>
                <w:color w:val="000000"/>
                <w:kern w:val="0"/>
                <w:sz w:val="24"/>
                <w:szCs w:val="24"/>
                <w:lang w:bidi="ar"/>
              </w:rPr>
              <w:t>100%</w:t>
            </w:r>
          </w:p>
        </w:tc>
      </w:tr>
    </w:tbl>
    <w:p>
      <w:pPr>
        <w:numPr>
          <w:ilvl w:val="0"/>
          <w:numId w:val="4"/>
        </w:numPr>
        <w:rPr>
          <w:rFonts w:ascii="仿宋_GB2312" w:hAnsi="宋体" w:eastAsia="仿宋_GB2312"/>
          <w:sz w:val="32"/>
          <w:szCs w:val="32"/>
        </w:rPr>
      </w:pPr>
      <w:r>
        <w:rPr>
          <w:rFonts w:hint="eastAsia" w:ascii="仿宋_GB2312" w:hAnsi="仿宋" w:eastAsia="仿宋_GB2312"/>
          <w:b/>
          <w:bCs/>
          <w:sz w:val="32"/>
          <w:szCs w:val="32"/>
        </w:rPr>
        <w:t>单位行业分布</w:t>
      </w:r>
      <w:bookmarkEnd w:id="90"/>
      <w:bookmarkEnd w:id="91"/>
      <w:r>
        <w:rPr>
          <w:rFonts w:hint="eastAsia" w:ascii="仿宋_GB2312" w:hAnsi="仿宋" w:eastAsia="仿宋_GB2312"/>
          <w:b/>
          <w:bCs/>
          <w:sz w:val="32"/>
          <w:szCs w:val="32"/>
        </w:rPr>
        <w:br w:type="textWrapping"/>
      </w:r>
      <w:r>
        <w:rPr>
          <w:rFonts w:hint="eastAsia" w:ascii="仿宋_GB2312" w:hAnsi="宋体" w:eastAsia="仿宋_GB2312"/>
          <w:sz w:val="32"/>
          <w:szCs w:val="32"/>
        </w:rPr>
        <w:t>1.各学历层次毕业生就业单位行业分布情况</w:t>
      </w:r>
      <w:bookmarkEnd w:id="92"/>
      <w:bookmarkEnd w:id="93"/>
      <w:bookmarkEnd w:id="94"/>
      <w:bookmarkEnd w:id="95"/>
      <w:bookmarkEnd w:id="96"/>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2019届毕业生到第一产业（农、林、牧、渔业）就业比例为</w:t>
      </w:r>
      <w:r>
        <w:rPr>
          <w:rFonts w:hint="eastAsia" w:ascii="仿宋_GB2312" w:hAnsi="仿宋" w:eastAsia="仿宋_GB2312"/>
          <w:sz w:val="32"/>
          <w:szCs w:val="32"/>
          <w:lang w:val="en-US" w:eastAsia="zh-CN"/>
        </w:rPr>
        <w:t>6.28</w:t>
      </w:r>
      <w:r>
        <w:rPr>
          <w:rFonts w:hint="eastAsia" w:ascii="仿宋_GB2312" w:hAnsi="仿宋" w:eastAsia="仿宋_GB2312"/>
          <w:sz w:val="32"/>
          <w:szCs w:val="32"/>
        </w:rPr>
        <w:t>%，与2018年相比下降了1.</w:t>
      </w:r>
      <w:r>
        <w:rPr>
          <w:rFonts w:hint="eastAsia" w:ascii="仿宋_GB2312" w:hAnsi="仿宋" w:eastAsia="仿宋_GB2312"/>
          <w:sz w:val="32"/>
          <w:szCs w:val="32"/>
          <w:lang w:val="en-US" w:eastAsia="zh-CN"/>
        </w:rPr>
        <w:t>64</w:t>
      </w:r>
      <w:r>
        <w:rPr>
          <w:rFonts w:hint="eastAsia" w:ascii="仿宋_GB2312" w:hAnsi="仿宋" w:eastAsia="仿宋_GB2312"/>
          <w:sz w:val="32"/>
          <w:szCs w:val="32"/>
        </w:rPr>
        <w:t>个百分点；到第二产业（制造业、建筑业、电力、热力、燃气及水生产与供应业、采矿业）就业比例为39.</w:t>
      </w:r>
      <w:r>
        <w:rPr>
          <w:rFonts w:hint="eastAsia" w:ascii="仿宋_GB2312" w:hAnsi="仿宋" w:eastAsia="仿宋_GB2312"/>
          <w:sz w:val="32"/>
          <w:szCs w:val="32"/>
          <w:lang w:val="en-US" w:eastAsia="zh-CN"/>
        </w:rPr>
        <w:t>22</w:t>
      </w:r>
      <w:r>
        <w:rPr>
          <w:rFonts w:hint="eastAsia" w:ascii="仿宋_GB2312" w:hAnsi="仿宋" w:eastAsia="仿宋_GB2312"/>
          <w:sz w:val="32"/>
          <w:szCs w:val="32"/>
        </w:rPr>
        <w:t>%，其中以制造业2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36</w:t>
      </w:r>
      <w:r>
        <w:rPr>
          <w:rFonts w:hint="eastAsia" w:ascii="仿宋_GB2312" w:hAnsi="仿宋" w:eastAsia="仿宋_GB2312"/>
          <w:sz w:val="32"/>
          <w:szCs w:val="32"/>
        </w:rPr>
        <w:t>%，建筑业13.</w:t>
      </w:r>
      <w:r>
        <w:rPr>
          <w:rFonts w:hint="eastAsia" w:ascii="仿宋_GB2312" w:hAnsi="仿宋" w:eastAsia="仿宋_GB2312"/>
          <w:sz w:val="32"/>
          <w:szCs w:val="32"/>
          <w:lang w:val="en-US" w:eastAsia="zh-CN"/>
        </w:rPr>
        <w:t>44</w:t>
      </w:r>
      <w:r>
        <w:rPr>
          <w:rFonts w:hint="eastAsia" w:ascii="仿宋_GB2312" w:hAnsi="仿宋" w:eastAsia="仿宋_GB2312"/>
          <w:sz w:val="32"/>
          <w:szCs w:val="32"/>
        </w:rPr>
        <w:t>%居多；到第三产业（其他）就业比例为53.16%，较2018年提高了2.74%，其中以信息传输、软件和信息技术服务业15.64%居多。</w:t>
      </w:r>
    </w:p>
    <w:p>
      <w:pPr>
        <w:outlineLvl w:val="2"/>
        <w:rPr>
          <w:rFonts w:ascii="仿宋_GB2312" w:hAnsi="宋体" w:eastAsia="仿宋_GB2312"/>
          <w:sz w:val="32"/>
          <w:szCs w:val="32"/>
        </w:rPr>
      </w:pPr>
      <w:bookmarkStart w:id="97" w:name="_Toc10524"/>
      <w:r>
        <w:rPr>
          <w:rFonts w:hint="eastAsia" w:ascii="仿宋_GB2312" w:hAnsi="宋体" w:eastAsia="仿宋_GB2312"/>
          <w:sz w:val="32"/>
          <w:szCs w:val="32"/>
        </w:rPr>
        <w:t>2.接收本科毕业生的世界五百强企业情况</w:t>
      </w:r>
      <w:bookmarkEnd w:id="97"/>
    </w:p>
    <w:tbl>
      <w:tblPr>
        <w:tblStyle w:val="19"/>
        <w:tblW w:w="8282" w:type="dxa"/>
        <w:tblInd w:w="0" w:type="dxa"/>
        <w:tblLayout w:type="autofit"/>
        <w:tblCellMar>
          <w:top w:w="0" w:type="dxa"/>
          <w:left w:w="108" w:type="dxa"/>
          <w:bottom w:w="0" w:type="dxa"/>
          <w:right w:w="108" w:type="dxa"/>
        </w:tblCellMar>
      </w:tblPr>
      <w:tblGrid>
        <w:gridCol w:w="1316"/>
        <w:gridCol w:w="3884"/>
        <w:gridCol w:w="3082"/>
      </w:tblGrid>
      <w:tr>
        <w:tblPrEx>
          <w:tblCellMar>
            <w:top w:w="0" w:type="dxa"/>
            <w:left w:w="108" w:type="dxa"/>
            <w:bottom w:w="0" w:type="dxa"/>
            <w:right w:w="108" w:type="dxa"/>
          </w:tblCellMar>
        </w:tblPrEx>
        <w:trPr>
          <w:trHeight w:val="402" w:hRule="atLeast"/>
        </w:trPr>
        <w:tc>
          <w:tcPr>
            <w:tcW w:w="1316" w:type="dxa"/>
            <w:tcBorders>
              <w:top w:val="single" w:color="000000" w:sz="12" w:space="0"/>
              <w:left w:val="dotted" w:color="auto" w:sz="8" w:space="0"/>
              <w:bottom w:val="single" w:color="000000" w:sz="12" w:space="0"/>
              <w:right w:val="dotted" w:color="auto" w:sz="8" w:space="0"/>
            </w:tcBorders>
            <w:shd w:val="clear" w:color="auto" w:fill="8064A2"/>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3884" w:type="dxa"/>
            <w:tcBorders>
              <w:top w:val="single" w:color="000000" w:sz="12" w:space="0"/>
              <w:left w:val="dotted" w:color="auto" w:sz="8" w:space="0"/>
              <w:bottom w:val="single" w:color="000000" w:sz="12" w:space="0"/>
              <w:right w:val="dotted" w:color="auto" w:sz="8" w:space="0"/>
            </w:tcBorders>
            <w:shd w:val="clear" w:color="auto" w:fill="8064A2"/>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单位名称</w:t>
            </w:r>
          </w:p>
        </w:tc>
        <w:tc>
          <w:tcPr>
            <w:tcW w:w="3082" w:type="dxa"/>
            <w:tcBorders>
              <w:top w:val="single" w:color="000000" w:sz="12" w:space="0"/>
              <w:left w:val="dotted" w:color="auto" w:sz="8" w:space="0"/>
              <w:bottom w:val="single" w:color="000000" w:sz="12" w:space="0"/>
              <w:right w:val="dotted" w:color="auto" w:sz="8" w:space="0"/>
            </w:tcBorders>
            <w:shd w:val="clear" w:color="auto" w:fill="8064A2"/>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接收本科毕业生数</w:t>
            </w:r>
          </w:p>
        </w:tc>
      </w:tr>
      <w:tr>
        <w:tblPrEx>
          <w:tblCellMar>
            <w:top w:w="0" w:type="dxa"/>
            <w:left w:w="108" w:type="dxa"/>
            <w:bottom w:w="0" w:type="dxa"/>
            <w:right w:w="108" w:type="dxa"/>
          </w:tblCellMar>
        </w:tblPrEx>
        <w:trPr>
          <w:trHeight w:val="402" w:hRule="atLeast"/>
        </w:trPr>
        <w:tc>
          <w:tcPr>
            <w:tcW w:w="1316" w:type="dxa"/>
            <w:tcBorders>
              <w:top w:val="single" w:color="000000" w:sz="12"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1</w:t>
            </w:r>
          </w:p>
        </w:tc>
        <w:tc>
          <w:tcPr>
            <w:tcW w:w="3884" w:type="dxa"/>
            <w:tcBorders>
              <w:top w:val="single" w:color="000000" w:sz="12"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中国建筑集团有限公司</w:t>
            </w:r>
          </w:p>
        </w:tc>
        <w:tc>
          <w:tcPr>
            <w:tcW w:w="3082" w:type="dxa"/>
            <w:tcBorders>
              <w:top w:val="single" w:color="000000" w:sz="12"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263</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2</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中国铁道建筑总公司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71</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3</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中粮集团有限公司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32</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4</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丰益集团</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olor w:val="000000"/>
                <w:sz w:val="22"/>
                <w:szCs w:val="22"/>
              </w:rPr>
            </w:pPr>
            <w:r>
              <w:rPr>
                <w:rFonts w:hint="eastAsia" w:ascii="等线" w:hAnsi="等线" w:eastAsia="等线"/>
                <w:color w:val="000000"/>
                <w:sz w:val="22"/>
                <w:szCs w:val="22"/>
              </w:rPr>
              <w:t>66</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5</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中国邮政集团公司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25</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6</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国家电网公司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19</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7</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中国建设银行</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18</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8</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中国农业银行</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15</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9</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鸿海精密工业股份有限公司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15</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10</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中国交通建设股份有限公司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olor w:val="000000"/>
                <w:sz w:val="22"/>
                <w:szCs w:val="22"/>
              </w:rPr>
            </w:pPr>
            <w:r>
              <w:rPr>
                <w:rFonts w:hint="eastAsia" w:ascii="等线" w:hAnsi="等线" w:eastAsia="等线"/>
                <w:color w:val="000000"/>
                <w:sz w:val="22"/>
                <w:szCs w:val="22"/>
              </w:rPr>
              <w:t>14</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11</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珠海格力电器股份有限公司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14</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12</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中国银行</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13</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13</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中国平安保险（集团）股份有限公司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11</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14</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中国工商银行</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10</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15</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中国人寿保险（集团）公司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10</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16</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苏宁易购集团</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10</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17</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中国铁路工程集团有限公司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9</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18</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中国电信集团公司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9</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19</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招商银行</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7</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20</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万科企业股份有限公司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7</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21</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中国联合网络通信股份有限公司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6</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22</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广达电脑公司</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5</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23</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中国石油化工集团公司</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5</w:t>
            </w:r>
          </w:p>
        </w:tc>
      </w:tr>
      <w:tr>
        <w:tblPrEx>
          <w:tblCellMar>
            <w:top w:w="0" w:type="dxa"/>
            <w:left w:w="108" w:type="dxa"/>
            <w:bottom w:w="0" w:type="dxa"/>
            <w:right w:w="108" w:type="dxa"/>
          </w:tblCellMar>
        </w:tblPrEx>
        <w:trPr>
          <w:trHeight w:val="325" w:hRule="atLeast"/>
        </w:trPr>
        <w:tc>
          <w:tcPr>
            <w:tcW w:w="1316"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24</w:t>
            </w:r>
          </w:p>
        </w:tc>
        <w:tc>
          <w:tcPr>
            <w:tcW w:w="3884" w:type="dxa"/>
            <w:tcBorders>
              <w:top w:val="dotted" w:color="auto" w:sz="8" w:space="0"/>
              <w:left w:val="dotted" w:color="auto" w:sz="8" w:space="0"/>
              <w:bottom w:val="dotted" w:color="auto" w:sz="8"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中国恒大集团</w:t>
            </w:r>
          </w:p>
        </w:tc>
        <w:tc>
          <w:tcPr>
            <w:tcW w:w="3082" w:type="dxa"/>
            <w:tcBorders>
              <w:top w:val="dotted" w:color="auto" w:sz="8" w:space="0"/>
              <w:left w:val="dotted" w:color="auto" w:sz="8" w:space="0"/>
              <w:bottom w:val="dotted" w:color="auto" w:sz="8"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5</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25</w:t>
            </w:r>
          </w:p>
        </w:tc>
        <w:tc>
          <w:tcPr>
            <w:tcW w:w="3884" w:type="dxa"/>
            <w:tcBorders>
              <w:top w:val="dotted" w:color="auto" w:sz="8" w:space="0"/>
              <w:left w:val="dotted" w:color="auto" w:sz="8" w:space="0"/>
              <w:bottom w:val="dotted" w:color="auto" w:sz="8" w:space="0"/>
              <w:right w:val="dotted" w:color="auto" w:sz="8" w:space="0"/>
            </w:tcBorders>
            <w:shd w:val="clear" w:color="auto" w:fill="FFFFFF"/>
            <w:vAlign w:val="center"/>
          </w:tcPr>
          <w:p>
            <w:pPr>
              <w:jc w:val="center"/>
              <w:rPr>
                <w:rFonts w:ascii="Arial" w:hAnsi="Arial" w:eastAsia="等线" w:cs="Arial"/>
                <w:color w:val="545454"/>
                <w:sz w:val="22"/>
                <w:szCs w:val="22"/>
              </w:rPr>
            </w:pPr>
            <w:r>
              <w:rPr>
                <w:rFonts w:ascii="Arial" w:hAnsi="Arial" w:eastAsia="等线" w:cs="Arial"/>
                <w:color w:val="545454"/>
                <w:sz w:val="22"/>
                <w:szCs w:val="22"/>
              </w:rPr>
              <w:t>京东集团</w:t>
            </w:r>
          </w:p>
        </w:tc>
        <w:tc>
          <w:tcPr>
            <w:tcW w:w="3082" w:type="dxa"/>
            <w:tcBorders>
              <w:top w:val="dotted" w:color="auto" w:sz="8" w:space="0"/>
              <w:left w:val="dotted" w:color="auto" w:sz="8" w:space="0"/>
              <w:bottom w:val="dotted" w:color="auto" w:sz="8" w:space="0"/>
              <w:right w:val="dotted" w:color="auto" w:sz="8" w:space="0"/>
            </w:tcBorders>
            <w:shd w:val="clear" w:color="auto" w:fill="FFFFFF"/>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5</w:t>
            </w:r>
          </w:p>
        </w:tc>
      </w:tr>
      <w:tr>
        <w:tblPrEx>
          <w:tblCellMar>
            <w:top w:w="0" w:type="dxa"/>
            <w:left w:w="108" w:type="dxa"/>
            <w:bottom w:w="0" w:type="dxa"/>
            <w:right w:w="108" w:type="dxa"/>
          </w:tblCellMar>
        </w:tblPrEx>
        <w:trPr>
          <w:trHeight w:val="402" w:hRule="atLeast"/>
        </w:trPr>
        <w:tc>
          <w:tcPr>
            <w:tcW w:w="1316" w:type="dxa"/>
            <w:tcBorders>
              <w:top w:val="dotted" w:color="auto" w:sz="8" w:space="0"/>
              <w:left w:val="dotted" w:color="auto" w:sz="8" w:space="0"/>
              <w:bottom w:val="single" w:color="000000" w:sz="12" w:space="0"/>
              <w:right w:val="dotted" w:color="auto" w:sz="8" w:space="0"/>
            </w:tcBorders>
            <w:shd w:val="clear" w:color="auto" w:fill="E7E7E7"/>
            <w:vAlign w:val="center"/>
          </w:tcPr>
          <w:p>
            <w:pPr>
              <w:jc w:val="center"/>
              <w:rPr>
                <w:rFonts w:ascii="Arial" w:hAnsi="Arial" w:eastAsia="等线" w:cs="Arial"/>
                <w:color w:val="545454"/>
                <w:sz w:val="22"/>
                <w:szCs w:val="22"/>
              </w:rPr>
            </w:pPr>
            <w:r>
              <w:rPr>
                <w:rFonts w:hint="eastAsia" w:ascii="Arial" w:hAnsi="Arial" w:eastAsia="等线" w:cs="Arial"/>
                <w:color w:val="545454"/>
                <w:sz w:val="22"/>
                <w:szCs w:val="22"/>
              </w:rPr>
              <w:t>26</w:t>
            </w:r>
          </w:p>
        </w:tc>
        <w:tc>
          <w:tcPr>
            <w:tcW w:w="3884" w:type="dxa"/>
            <w:tcBorders>
              <w:top w:val="dotted" w:color="auto" w:sz="8" w:space="0"/>
              <w:left w:val="dotted" w:color="auto" w:sz="8" w:space="0"/>
              <w:bottom w:val="single" w:color="000000" w:sz="12" w:space="0"/>
              <w:right w:val="dotted" w:color="auto" w:sz="8" w:space="0"/>
            </w:tcBorders>
            <w:shd w:val="clear" w:color="auto" w:fill="E7E7E7"/>
            <w:vAlign w:val="center"/>
          </w:tcPr>
          <w:p>
            <w:pPr>
              <w:jc w:val="center"/>
              <w:rPr>
                <w:rFonts w:ascii="Arial" w:hAnsi="Arial" w:eastAsia="等线" w:cs="Arial"/>
                <w:color w:val="545454"/>
                <w:sz w:val="22"/>
                <w:szCs w:val="22"/>
              </w:rPr>
            </w:pPr>
            <w:r>
              <w:rPr>
                <w:rFonts w:ascii="Arial" w:hAnsi="Arial" w:eastAsia="等线" w:cs="Arial"/>
                <w:color w:val="545454"/>
                <w:sz w:val="22"/>
                <w:szCs w:val="22"/>
              </w:rPr>
              <w:t>中国移动通信集团公司</w:t>
            </w:r>
          </w:p>
        </w:tc>
        <w:tc>
          <w:tcPr>
            <w:tcW w:w="3082" w:type="dxa"/>
            <w:tcBorders>
              <w:top w:val="dotted" w:color="auto" w:sz="8" w:space="0"/>
              <w:left w:val="dotted" w:color="auto" w:sz="8" w:space="0"/>
              <w:bottom w:val="single" w:color="000000" w:sz="12" w:space="0"/>
              <w:right w:val="dotted" w:color="auto" w:sz="8" w:space="0"/>
            </w:tcBorders>
            <w:shd w:val="clear" w:color="auto" w:fill="E7E7E7"/>
            <w:vAlign w:val="bottom"/>
          </w:tcPr>
          <w:p>
            <w:pPr>
              <w:jc w:val="center"/>
              <w:rPr>
                <w:rFonts w:ascii="等线" w:hAnsi="等线" w:eastAsia="等线" w:cs="宋体"/>
                <w:color w:val="000000"/>
                <w:sz w:val="22"/>
                <w:szCs w:val="22"/>
              </w:rPr>
            </w:pPr>
            <w:r>
              <w:rPr>
                <w:rFonts w:hint="eastAsia" w:ascii="等线" w:hAnsi="等线" w:eastAsia="等线"/>
                <w:color w:val="000000"/>
                <w:sz w:val="22"/>
                <w:szCs w:val="22"/>
              </w:rPr>
              <w:t>5</w:t>
            </w:r>
          </w:p>
        </w:tc>
      </w:tr>
    </w:tbl>
    <w:p>
      <w:pPr>
        <w:numPr>
          <w:ilvl w:val="0"/>
          <w:numId w:val="4"/>
        </w:numPr>
        <w:ind w:firstLine="640" w:firstLineChars="200"/>
        <w:jc w:val="left"/>
        <w:outlineLvl w:val="1"/>
        <w:rPr>
          <w:rFonts w:ascii="仿宋_GB2312" w:hAnsi="仿宋" w:eastAsia="仿宋_GB2312"/>
          <w:sz w:val="32"/>
          <w:szCs w:val="32"/>
        </w:rPr>
      </w:pPr>
      <w:bookmarkStart w:id="98" w:name="_Toc1321"/>
      <w:r>
        <w:rPr>
          <w:rFonts w:hint="eastAsia" w:ascii="仿宋_GB2312" w:hAnsi="仿宋" w:eastAsia="仿宋_GB2312"/>
          <w:sz w:val="32"/>
          <w:szCs w:val="32"/>
        </w:rPr>
        <w:t>未就业毕业生</w:t>
      </w:r>
      <w:bookmarkEnd w:id="98"/>
    </w:p>
    <w:tbl>
      <w:tblPr>
        <w:tblStyle w:val="19"/>
        <w:tblW w:w="8740" w:type="dxa"/>
        <w:tblInd w:w="0" w:type="dxa"/>
        <w:tblLayout w:type="fixed"/>
        <w:tblCellMar>
          <w:top w:w="15" w:type="dxa"/>
          <w:left w:w="15" w:type="dxa"/>
          <w:bottom w:w="15" w:type="dxa"/>
          <w:right w:w="15" w:type="dxa"/>
        </w:tblCellMar>
      </w:tblPr>
      <w:tblGrid>
        <w:gridCol w:w="1037"/>
        <w:gridCol w:w="1320"/>
        <w:gridCol w:w="1892"/>
        <w:gridCol w:w="999"/>
        <w:gridCol w:w="1791"/>
        <w:gridCol w:w="1701"/>
      </w:tblGrid>
      <w:tr>
        <w:tblPrEx>
          <w:tblCellMar>
            <w:top w:w="15" w:type="dxa"/>
            <w:left w:w="15" w:type="dxa"/>
            <w:bottom w:w="15" w:type="dxa"/>
            <w:right w:w="15" w:type="dxa"/>
          </w:tblCellMar>
        </w:tblPrEx>
        <w:trPr>
          <w:trHeight w:val="470" w:hRule="atLeast"/>
        </w:trPr>
        <w:tc>
          <w:tcPr>
            <w:tcW w:w="1037" w:type="dxa"/>
            <w:vMerge w:val="restart"/>
            <w:tcBorders>
              <w:top w:val="single" w:color="FFFFFF" w:sz="8" w:space="0"/>
              <w:left w:val="single" w:color="FFFFFF" w:sz="8" w:space="0"/>
              <w:bottom w:val="single" w:color="FFFFFF" w:sz="18" w:space="0"/>
              <w:right w:val="single" w:color="FFFFFF" w:sz="8" w:space="0"/>
            </w:tcBorders>
            <w:shd w:val="clear" w:color="auto" w:fill="8064A2"/>
            <w:vAlign w:val="center"/>
          </w:tcPr>
          <w:p>
            <w:pPr>
              <w:widowControl/>
              <w:jc w:val="center"/>
              <w:textAlignment w:val="center"/>
              <w:rPr>
                <w:rFonts w:ascii="宋体" w:hAnsi="宋体" w:cs="宋体"/>
                <w:bCs/>
                <w:color w:val="FFFFFF"/>
                <w:sz w:val="20"/>
              </w:rPr>
            </w:pPr>
            <w:r>
              <w:rPr>
                <w:rFonts w:hint="eastAsia" w:ascii="宋体" w:hAnsi="宋体" w:cs="宋体"/>
                <w:color w:val="FFFFFF"/>
                <w:kern w:val="0"/>
                <w:sz w:val="20"/>
                <w:lang w:bidi="ar"/>
              </w:rPr>
              <w:t>学历</w:t>
            </w:r>
          </w:p>
        </w:tc>
        <w:tc>
          <w:tcPr>
            <w:tcW w:w="1320" w:type="dxa"/>
            <w:vMerge w:val="restart"/>
            <w:tcBorders>
              <w:top w:val="single" w:color="FFFFFF" w:sz="8" w:space="0"/>
              <w:left w:val="single" w:color="FFFFFF" w:sz="8" w:space="0"/>
              <w:bottom w:val="single" w:color="FFFFFF" w:sz="18" w:space="0"/>
              <w:right w:val="single" w:color="FFFFFF" w:sz="8" w:space="0"/>
            </w:tcBorders>
            <w:shd w:val="clear" w:color="auto" w:fill="8064A2"/>
            <w:vAlign w:val="center"/>
          </w:tcPr>
          <w:p>
            <w:pPr>
              <w:widowControl/>
              <w:jc w:val="center"/>
              <w:textAlignment w:val="center"/>
              <w:rPr>
                <w:rFonts w:ascii="宋体" w:hAnsi="宋体" w:cs="宋体"/>
                <w:bCs/>
                <w:color w:val="FFFFFF"/>
                <w:sz w:val="20"/>
              </w:rPr>
            </w:pPr>
            <w:r>
              <w:rPr>
                <w:rFonts w:hint="eastAsia" w:ascii="宋体" w:hAnsi="宋体" w:cs="宋体"/>
                <w:color w:val="FFFFFF"/>
                <w:kern w:val="0"/>
                <w:sz w:val="20"/>
                <w:lang w:bidi="ar"/>
              </w:rPr>
              <w:t>毕业人数</w:t>
            </w:r>
          </w:p>
        </w:tc>
        <w:tc>
          <w:tcPr>
            <w:tcW w:w="2891" w:type="dxa"/>
            <w:gridSpan w:val="2"/>
            <w:tcBorders>
              <w:top w:val="single" w:color="FFFFFF" w:sz="8" w:space="0"/>
              <w:left w:val="single" w:color="FFFFFF" w:sz="8" w:space="0"/>
              <w:bottom w:val="single" w:color="FFFFFF" w:sz="18" w:space="0"/>
              <w:right w:val="single" w:color="FFFFFF" w:sz="8" w:space="0"/>
            </w:tcBorders>
            <w:shd w:val="clear" w:color="auto" w:fill="8064A2"/>
            <w:vAlign w:val="center"/>
          </w:tcPr>
          <w:p>
            <w:pPr>
              <w:widowControl/>
              <w:jc w:val="center"/>
              <w:textAlignment w:val="center"/>
              <w:rPr>
                <w:rFonts w:ascii="宋体" w:hAnsi="宋体" w:cs="宋体"/>
                <w:bCs/>
                <w:color w:val="FFFFFF"/>
                <w:sz w:val="20"/>
              </w:rPr>
            </w:pPr>
            <w:r>
              <w:rPr>
                <w:rFonts w:hint="eastAsia" w:ascii="宋体" w:hAnsi="宋体" w:cs="宋体"/>
                <w:color w:val="FFFFFF"/>
                <w:kern w:val="0"/>
                <w:sz w:val="20"/>
                <w:lang w:bidi="ar"/>
              </w:rPr>
              <w:t>未就业人数</w:t>
            </w:r>
          </w:p>
        </w:tc>
        <w:tc>
          <w:tcPr>
            <w:tcW w:w="1791" w:type="dxa"/>
            <w:vMerge w:val="restart"/>
            <w:tcBorders>
              <w:top w:val="single" w:color="FFFFFF" w:sz="8" w:space="0"/>
              <w:left w:val="single" w:color="FFFFFF" w:sz="8" w:space="0"/>
              <w:bottom w:val="single" w:color="FFFFFF" w:sz="18" w:space="0"/>
              <w:right w:val="single" w:color="FFFFFF" w:sz="8" w:space="0"/>
            </w:tcBorders>
            <w:shd w:val="clear" w:color="auto" w:fill="8064A2"/>
            <w:vAlign w:val="center"/>
          </w:tcPr>
          <w:p>
            <w:pPr>
              <w:widowControl/>
              <w:jc w:val="center"/>
              <w:textAlignment w:val="center"/>
              <w:rPr>
                <w:rFonts w:ascii="宋体" w:hAnsi="宋体" w:cs="宋体"/>
                <w:bCs/>
                <w:color w:val="FFFFFF"/>
                <w:szCs w:val="21"/>
              </w:rPr>
            </w:pPr>
            <w:r>
              <w:rPr>
                <w:rFonts w:hint="eastAsia" w:ascii="宋体" w:hAnsi="宋体" w:cs="宋体"/>
                <w:color w:val="FFFFFF"/>
                <w:kern w:val="0"/>
                <w:szCs w:val="21"/>
                <w:lang w:bidi="ar"/>
              </w:rPr>
              <w:t>合计</w:t>
            </w:r>
          </w:p>
        </w:tc>
        <w:tc>
          <w:tcPr>
            <w:tcW w:w="1701" w:type="dxa"/>
            <w:vMerge w:val="restart"/>
            <w:tcBorders>
              <w:top w:val="single" w:color="FFFFFF" w:sz="8" w:space="0"/>
              <w:left w:val="single" w:color="FFFFFF" w:sz="8" w:space="0"/>
              <w:bottom w:val="single" w:color="FFFFFF" w:sz="18" w:space="0"/>
              <w:right w:val="single" w:color="FFFFFF" w:sz="8" w:space="0"/>
            </w:tcBorders>
            <w:shd w:val="clear" w:color="auto" w:fill="8064A2"/>
            <w:vAlign w:val="center"/>
          </w:tcPr>
          <w:p>
            <w:pPr>
              <w:widowControl/>
              <w:jc w:val="center"/>
              <w:textAlignment w:val="center"/>
              <w:rPr>
                <w:rFonts w:ascii="宋体" w:hAnsi="宋体" w:cs="宋体"/>
                <w:bCs/>
                <w:color w:val="FFFFFF"/>
                <w:szCs w:val="21"/>
              </w:rPr>
            </w:pPr>
            <w:r>
              <w:rPr>
                <w:rFonts w:hint="eastAsia" w:ascii="宋体" w:hAnsi="宋体" w:cs="宋体"/>
                <w:color w:val="FFFFFF"/>
                <w:kern w:val="0"/>
                <w:szCs w:val="21"/>
                <w:lang w:bidi="ar"/>
              </w:rPr>
              <w:t>比例</w:t>
            </w:r>
          </w:p>
        </w:tc>
      </w:tr>
      <w:tr>
        <w:tblPrEx>
          <w:tblCellMar>
            <w:top w:w="15" w:type="dxa"/>
            <w:left w:w="15" w:type="dxa"/>
            <w:bottom w:w="15" w:type="dxa"/>
            <w:right w:w="15" w:type="dxa"/>
          </w:tblCellMar>
        </w:tblPrEx>
        <w:trPr>
          <w:trHeight w:val="447" w:hRule="atLeast"/>
        </w:trPr>
        <w:tc>
          <w:tcPr>
            <w:tcW w:w="1037" w:type="dxa"/>
            <w:vMerge w:val="continue"/>
            <w:tcBorders>
              <w:top w:val="single" w:color="FFFFFF" w:sz="18" w:space="0"/>
              <w:left w:val="single" w:color="FFFFFF" w:sz="8" w:space="0"/>
              <w:bottom w:val="single" w:color="FFFFFF" w:sz="8" w:space="0"/>
              <w:right w:val="single" w:color="FFFFFF" w:sz="8" w:space="0"/>
            </w:tcBorders>
            <w:shd w:val="clear" w:color="auto" w:fill="D8D3E0"/>
            <w:vAlign w:val="center"/>
          </w:tcPr>
          <w:p>
            <w:pPr>
              <w:jc w:val="center"/>
              <w:rPr>
                <w:rFonts w:ascii="宋体" w:hAnsi="宋体" w:cs="宋体"/>
                <w:bCs/>
                <w:color w:val="000000"/>
                <w:sz w:val="20"/>
              </w:rPr>
            </w:pPr>
          </w:p>
        </w:tc>
        <w:tc>
          <w:tcPr>
            <w:tcW w:w="1320" w:type="dxa"/>
            <w:vMerge w:val="continue"/>
            <w:tcBorders>
              <w:top w:val="single" w:color="FFFFFF" w:sz="18" w:space="0"/>
              <w:left w:val="single" w:color="FFFFFF" w:sz="8" w:space="0"/>
              <w:bottom w:val="single" w:color="FFFFFF" w:sz="8" w:space="0"/>
              <w:right w:val="single" w:color="FFFFFF" w:sz="8" w:space="0"/>
            </w:tcBorders>
            <w:shd w:val="clear" w:color="auto" w:fill="D8D3E0"/>
            <w:vAlign w:val="center"/>
          </w:tcPr>
          <w:p>
            <w:pPr>
              <w:jc w:val="center"/>
              <w:rPr>
                <w:rFonts w:ascii="宋体" w:hAnsi="宋体" w:cs="宋体"/>
                <w:bCs/>
                <w:color w:val="000000"/>
                <w:sz w:val="20"/>
              </w:rPr>
            </w:pPr>
          </w:p>
        </w:tc>
        <w:tc>
          <w:tcPr>
            <w:tcW w:w="1892" w:type="dxa"/>
            <w:tcBorders>
              <w:top w:val="single" w:color="FFFFFF" w:sz="18" w:space="0"/>
              <w:left w:val="single" w:color="FFFFFF" w:sz="8" w:space="0"/>
              <w:bottom w:val="single" w:color="FFFFFF" w:sz="8" w:space="0"/>
              <w:right w:val="single" w:color="FFFFFF" w:sz="8" w:space="0"/>
            </w:tcBorders>
            <w:shd w:val="clear" w:color="auto" w:fill="8064A2" w:themeFill="accent4"/>
            <w:vAlign w:val="center"/>
          </w:tcPr>
          <w:p>
            <w:pPr>
              <w:widowControl/>
              <w:jc w:val="center"/>
              <w:textAlignment w:val="center"/>
              <w:rPr>
                <w:rFonts w:ascii="宋体" w:hAnsi="宋体" w:cs="宋体"/>
                <w:color w:val="FFFFFF"/>
                <w:kern w:val="0"/>
                <w:szCs w:val="21"/>
                <w:lang w:bidi="ar"/>
              </w:rPr>
            </w:pPr>
            <w:r>
              <w:rPr>
                <w:rFonts w:hint="eastAsia" w:ascii="宋体" w:hAnsi="宋体" w:cs="宋体"/>
                <w:color w:val="FFFFFF"/>
                <w:kern w:val="0"/>
                <w:szCs w:val="21"/>
                <w:lang w:bidi="ar"/>
              </w:rPr>
              <w:t>男</w:t>
            </w:r>
          </w:p>
        </w:tc>
        <w:tc>
          <w:tcPr>
            <w:tcW w:w="999" w:type="dxa"/>
            <w:tcBorders>
              <w:top w:val="single" w:color="FFFFFF" w:sz="18" w:space="0"/>
              <w:left w:val="single" w:color="FFFFFF" w:sz="8" w:space="0"/>
              <w:bottom w:val="single" w:color="FFFFFF" w:sz="8" w:space="0"/>
              <w:right w:val="single" w:color="FFFFFF" w:sz="8" w:space="0"/>
            </w:tcBorders>
            <w:shd w:val="clear" w:color="auto" w:fill="8064A2" w:themeFill="accent4"/>
            <w:vAlign w:val="center"/>
          </w:tcPr>
          <w:p>
            <w:pPr>
              <w:widowControl/>
              <w:jc w:val="center"/>
              <w:textAlignment w:val="center"/>
              <w:rPr>
                <w:rFonts w:ascii="宋体" w:hAnsi="宋体" w:cs="宋体"/>
                <w:color w:val="FFFFFF"/>
                <w:kern w:val="0"/>
                <w:szCs w:val="21"/>
                <w:lang w:bidi="ar"/>
              </w:rPr>
            </w:pPr>
            <w:r>
              <w:rPr>
                <w:rFonts w:hint="eastAsia" w:ascii="宋体" w:hAnsi="宋体" w:cs="宋体"/>
                <w:color w:val="FFFFFF"/>
                <w:kern w:val="0"/>
                <w:szCs w:val="21"/>
                <w:lang w:bidi="ar"/>
              </w:rPr>
              <w:t>女</w:t>
            </w:r>
          </w:p>
        </w:tc>
        <w:tc>
          <w:tcPr>
            <w:tcW w:w="1791" w:type="dxa"/>
            <w:vMerge w:val="continue"/>
            <w:tcBorders>
              <w:top w:val="single" w:color="FFFFFF" w:sz="18" w:space="0"/>
              <w:left w:val="single" w:color="FFFFFF" w:sz="8" w:space="0"/>
              <w:bottom w:val="single" w:color="FFFFFF" w:sz="8" w:space="0"/>
              <w:right w:val="single" w:color="FFFFFF" w:sz="8" w:space="0"/>
            </w:tcBorders>
            <w:shd w:val="clear" w:color="auto" w:fill="D8D3E0"/>
            <w:vAlign w:val="center"/>
          </w:tcPr>
          <w:p>
            <w:pPr>
              <w:jc w:val="center"/>
              <w:rPr>
                <w:rFonts w:ascii="宋体" w:hAnsi="宋体" w:cs="宋体"/>
                <w:bCs/>
                <w:color w:val="000000"/>
                <w:szCs w:val="21"/>
              </w:rPr>
            </w:pPr>
          </w:p>
        </w:tc>
        <w:tc>
          <w:tcPr>
            <w:tcW w:w="1701" w:type="dxa"/>
            <w:vMerge w:val="continue"/>
            <w:tcBorders>
              <w:top w:val="single" w:color="FFFFFF" w:sz="18" w:space="0"/>
              <w:left w:val="single" w:color="FFFFFF" w:sz="8" w:space="0"/>
              <w:bottom w:val="single" w:color="FFFFFF" w:sz="8" w:space="0"/>
              <w:right w:val="single" w:color="FFFFFF" w:sz="8" w:space="0"/>
            </w:tcBorders>
            <w:shd w:val="clear" w:color="auto" w:fill="D8D3E0"/>
            <w:vAlign w:val="center"/>
          </w:tcPr>
          <w:p>
            <w:pPr>
              <w:jc w:val="center"/>
              <w:rPr>
                <w:rFonts w:ascii="宋体" w:hAnsi="宋体" w:cs="宋体"/>
                <w:bCs/>
                <w:color w:val="000000"/>
                <w:szCs w:val="21"/>
              </w:rPr>
            </w:pPr>
          </w:p>
        </w:tc>
      </w:tr>
      <w:tr>
        <w:tblPrEx>
          <w:tblCellMar>
            <w:top w:w="15" w:type="dxa"/>
            <w:left w:w="15" w:type="dxa"/>
            <w:bottom w:w="15" w:type="dxa"/>
            <w:right w:w="15" w:type="dxa"/>
          </w:tblCellMar>
        </w:tblPrEx>
        <w:trPr>
          <w:trHeight w:val="470" w:hRule="atLeast"/>
        </w:trPr>
        <w:tc>
          <w:tcPr>
            <w:tcW w:w="1037"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bCs/>
                <w:color w:val="000000"/>
                <w:sz w:val="20"/>
              </w:rPr>
            </w:pPr>
            <w:r>
              <w:rPr>
                <w:rFonts w:hint="eastAsia" w:ascii="宋体" w:hAnsi="宋体" w:cs="宋体"/>
                <w:color w:val="000000"/>
                <w:kern w:val="0"/>
                <w:sz w:val="20"/>
                <w:lang w:bidi="ar"/>
              </w:rPr>
              <w:t>硕士生毕业</w:t>
            </w:r>
          </w:p>
        </w:tc>
        <w:tc>
          <w:tcPr>
            <w:tcW w:w="1320"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0"/>
                <w:lang w:bidi="ar"/>
              </w:rPr>
              <w:t>430</w:t>
            </w:r>
          </w:p>
        </w:tc>
        <w:tc>
          <w:tcPr>
            <w:tcW w:w="1892"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18"/>
                <w:szCs w:val="18"/>
                <w:lang w:bidi="ar"/>
              </w:rPr>
              <w:t>28</w:t>
            </w:r>
          </w:p>
        </w:tc>
        <w:tc>
          <w:tcPr>
            <w:tcW w:w="999"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18"/>
                <w:szCs w:val="18"/>
                <w:lang w:bidi="ar"/>
              </w:rPr>
              <w:t>23</w:t>
            </w:r>
          </w:p>
        </w:tc>
        <w:tc>
          <w:tcPr>
            <w:tcW w:w="1791"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lang w:bidi="ar"/>
              </w:rPr>
              <w:t>51</w:t>
            </w:r>
          </w:p>
        </w:tc>
        <w:tc>
          <w:tcPr>
            <w:tcW w:w="1701"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lang w:bidi="ar"/>
              </w:rPr>
              <w:t>11.86%</w:t>
            </w:r>
          </w:p>
        </w:tc>
      </w:tr>
      <w:tr>
        <w:tblPrEx>
          <w:tblCellMar>
            <w:top w:w="15" w:type="dxa"/>
            <w:left w:w="15" w:type="dxa"/>
            <w:bottom w:w="15" w:type="dxa"/>
            <w:right w:w="15" w:type="dxa"/>
          </w:tblCellMar>
        </w:tblPrEx>
        <w:trPr>
          <w:trHeight w:val="470" w:hRule="atLeast"/>
        </w:trPr>
        <w:tc>
          <w:tcPr>
            <w:tcW w:w="1037"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bCs/>
                <w:color w:val="000000"/>
                <w:sz w:val="20"/>
              </w:rPr>
            </w:pPr>
            <w:r>
              <w:rPr>
                <w:rFonts w:hint="eastAsia" w:ascii="宋体" w:hAnsi="宋体" w:cs="宋体"/>
                <w:color w:val="000000"/>
                <w:kern w:val="0"/>
                <w:sz w:val="20"/>
                <w:lang w:bidi="ar"/>
              </w:rPr>
              <w:t>本科生毕业</w:t>
            </w:r>
          </w:p>
        </w:tc>
        <w:tc>
          <w:tcPr>
            <w:tcW w:w="1320"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0"/>
                <w:lang w:bidi="ar"/>
              </w:rPr>
              <w:t>6905</w:t>
            </w:r>
          </w:p>
        </w:tc>
        <w:tc>
          <w:tcPr>
            <w:tcW w:w="1892"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18"/>
                <w:szCs w:val="18"/>
                <w:lang w:bidi="ar"/>
              </w:rPr>
              <w:t>393</w:t>
            </w:r>
          </w:p>
        </w:tc>
        <w:tc>
          <w:tcPr>
            <w:tcW w:w="999"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369</w:t>
            </w:r>
          </w:p>
        </w:tc>
        <w:tc>
          <w:tcPr>
            <w:tcW w:w="1791"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762</w:t>
            </w:r>
          </w:p>
        </w:tc>
        <w:tc>
          <w:tcPr>
            <w:tcW w:w="1701"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lang w:val="en-US" w:eastAsia="zh-CN" w:bidi="ar"/>
              </w:rPr>
              <w:t>11.04</w:t>
            </w:r>
            <w:r>
              <w:rPr>
                <w:rFonts w:hint="eastAsia" w:ascii="宋体" w:hAnsi="宋体" w:cs="宋体"/>
                <w:color w:val="000000"/>
                <w:kern w:val="0"/>
                <w:sz w:val="20"/>
                <w:lang w:bidi="ar"/>
              </w:rPr>
              <w:t>%</w:t>
            </w:r>
          </w:p>
        </w:tc>
      </w:tr>
      <w:tr>
        <w:tblPrEx>
          <w:tblCellMar>
            <w:top w:w="15" w:type="dxa"/>
            <w:left w:w="15" w:type="dxa"/>
            <w:bottom w:w="15" w:type="dxa"/>
            <w:right w:w="15" w:type="dxa"/>
          </w:tblCellMar>
        </w:tblPrEx>
        <w:trPr>
          <w:trHeight w:val="470" w:hRule="atLeast"/>
        </w:trPr>
        <w:tc>
          <w:tcPr>
            <w:tcW w:w="1037"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bCs/>
                <w:color w:val="000000"/>
                <w:sz w:val="20"/>
              </w:rPr>
            </w:pPr>
            <w:r>
              <w:rPr>
                <w:rFonts w:hint="eastAsia" w:ascii="宋体" w:hAnsi="宋体" w:cs="宋体"/>
                <w:color w:val="000000"/>
                <w:kern w:val="0"/>
                <w:sz w:val="20"/>
                <w:lang w:bidi="ar"/>
              </w:rPr>
              <w:t>专科生毕业</w:t>
            </w:r>
          </w:p>
        </w:tc>
        <w:tc>
          <w:tcPr>
            <w:tcW w:w="1320"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0"/>
                <w:lang w:bidi="ar"/>
              </w:rPr>
              <w:t>1500</w:t>
            </w:r>
          </w:p>
        </w:tc>
        <w:tc>
          <w:tcPr>
            <w:tcW w:w="1892"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 w:val="18"/>
                <w:szCs w:val="18"/>
                <w:lang w:val="en-US" w:eastAsia="zh-CN" w:bidi="ar"/>
              </w:rPr>
              <w:t>283</w:t>
            </w:r>
          </w:p>
        </w:tc>
        <w:tc>
          <w:tcPr>
            <w:tcW w:w="999"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 w:val="18"/>
                <w:szCs w:val="18"/>
                <w:lang w:val="en-US" w:eastAsia="zh-CN" w:bidi="ar"/>
              </w:rPr>
              <w:t>85</w:t>
            </w:r>
          </w:p>
        </w:tc>
        <w:tc>
          <w:tcPr>
            <w:tcW w:w="1791"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0"/>
                <w:lang w:bidi="ar"/>
              </w:rPr>
              <w:t>368</w:t>
            </w:r>
          </w:p>
        </w:tc>
        <w:tc>
          <w:tcPr>
            <w:tcW w:w="1701" w:type="dxa"/>
            <w:tcBorders>
              <w:top w:val="single" w:color="FFFFFF" w:sz="8" w:space="0"/>
              <w:left w:val="single" w:color="FFFFFF" w:sz="8" w:space="0"/>
              <w:bottom w:val="single" w:color="FFFFFF" w:sz="8" w:space="0"/>
              <w:right w:val="single" w:color="FFFFFF" w:sz="8" w:space="0"/>
            </w:tcBorders>
            <w:shd w:val="clear" w:color="auto" w:fill="EDEAF0"/>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0"/>
                <w:lang w:bidi="ar"/>
              </w:rPr>
              <w:t>24.53</w:t>
            </w:r>
            <w:r>
              <w:rPr>
                <w:rFonts w:hint="eastAsia" w:ascii="宋体" w:hAnsi="宋体" w:cs="宋体"/>
                <w:color w:val="000000"/>
                <w:kern w:val="0"/>
                <w:sz w:val="20"/>
                <w:lang w:bidi="ar"/>
              </w:rPr>
              <w:t>%</w:t>
            </w:r>
          </w:p>
        </w:tc>
      </w:tr>
      <w:tr>
        <w:tblPrEx>
          <w:tblCellMar>
            <w:top w:w="15" w:type="dxa"/>
            <w:left w:w="15" w:type="dxa"/>
            <w:bottom w:w="15" w:type="dxa"/>
            <w:right w:w="15" w:type="dxa"/>
          </w:tblCellMar>
        </w:tblPrEx>
        <w:trPr>
          <w:trHeight w:val="515" w:hRule="atLeast"/>
        </w:trPr>
        <w:tc>
          <w:tcPr>
            <w:tcW w:w="1037"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bCs/>
                <w:color w:val="000000"/>
                <w:sz w:val="20"/>
              </w:rPr>
            </w:pPr>
            <w:r>
              <w:rPr>
                <w:rFonts w:hint="eastAsia" w:ascii="宋体" w:hAnsi="宋体" w:cs="宋体"/>
                <w:color w:val="000000"/>
                <w:kern w:val="0"/>
                <w:sz w:val="20"/>
                <w:lang w:bidi="ar"/>
              </w:rPr>
              <w:t>合计</w:t>
            </w:r>
          </w:p>
        </w:tc>
        <w:tc>
          <w:tcPr>
            <w:tcW w:w="1320"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20"/>
                <w:lang w:bidi="ar"/>
              </w:rPr>
              <w:t>8835</w:t>
            </w:r>
          </w:p>
        </w:tc>
        <w:tc>
          <w:tcPr>
            <w:tcW w:w="1892"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18"/>
                <w:szCs w:val="18"/>
                <w:lang w:val="en-US" w:eastAsia="zh-CN" w:bidi="ar"/>
              </w:rPr>
              <w:t>70</w:t>
            </w:r>
            <w:r>
              <w:rPr>
                <w:rFonts w:hint="eastAsia" w:ascii="宋体" w:hAnsi="宋体" w:cs="宋体"/>
                <w:color w:val="000000"/>
                <w:kern w:val="0"/>
                <w:sz w:val="18"/>
                <w:szCs w:val="18"/>
                <w:lang w:bidi="ar"/>
              </w:rPr>
              <w:t>4</w:t>
            </w:r>
          </w:p>
        </w:tc>
        <w:tc>
          <w:tcPr>
            <w:tcW w:w="999"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Cs w:val="21"/>
              </w:rPr>
            </w:pPr>
            <w:r>
              <w:rPr>
                <w:rFonts w:hint="eastAsia" w:ascii="宋体" w:hAnsi="宋体" w:cs="宋体"/>
                <w:color w:val="000000"/>
                <w:kern w:val="0"/>
                <w:sz w:val="18"/>
                <w:szCs w:val="18"/>
                <w:lang w:bidi="ar"/>
              </w:rPr>
              <w:t>477</w:t>
            </w:r>
          </w:p>
        </w:tc>
        <w:tc>
          <w:tcPr>
            <w:tcW w:w="1791"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lang w:bidi="ar"/>
              </w:rPr>
              <w:t>1181</w:t>
            </w:r>
          </w:p>
        </w:tc>
        <w:tc>
          <w:tcPr>
            <w:tcW w:w="1701" w:type="dxa"/>
            <w:tcBorders>
              <w:top w:val="single" w:color="FFFFFF" w:sz="8" w:space="0"/>
              <w:left w:val="single" w:color="FFFFFF" w:sz="8" w:space="0"/>
              <w:bottom w:val="single" w:color="FFFFFF" w:sz="8" w:space="0"/>
              <w:right w:val="single" w:color="FFFFFF" w:sz="8" w:space="0"/>
            </w:tcBorders>
            <w:shd w:val="clear" w:color="auto" w:fill="D8D3E0"/>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lang w:bidi="ar"/>
              </w:rPr>
              <w:t>13.37%</w:t>
            </w:r>
          </w:p>
        </w:tc>
      </w:tr>
    </w:tbl>
    <w:p>
      <w:pPr>
        <w:outlineLvl w:val="0"/>
        <w:rPr>
          <w:rFonts w:ascii="仿宋_GB2312" w:hAnsi="仿宋" w:eastAsia="仿宋_GB2312"/>
          <w:sz w:val="32"/>
          <w:szCs w:val="32"/>
        </w:rPr>
      </w:pPr>
      <w:bookmarkStart w:id="99" w:name="_Toc10133"/>
      <w:bookmarkStart w:id="100" w:name="_Toc498470154"/>
      <w:r>
        <w:rPr>
          <w:rFonts w:hint="eastAsia" w:ascii="黑体" w:hAnsi="黑体" w:eastAsia="黑体"/>
          <w:b/>
          <w:sz w:val="32"/>
          <w:szCs w:val="32"/>
        </w:rPr>
        <w:t>三、校园招聘市场情况</w:t>
      </w:r>
      <w:bookmarkEnd w:id="99"/>
    </w:p>
    <w:p>
      <w:pPr>
        <w:outlineLvl w:val="1"/>
        <w:rPr>
          <w:rFonts w:ascii="仿宋_GB2312" w:hAnsi="仿宋" w:eastAsia="仿宋_GB2312"/>
          <w:sz w:val="32"/>
          <w:szCs w:val="32"/>
        </w:rPr>
      </w:pPr>
      <w:bookmarkStart w:id="101" w:name="_Toc8391"/>
      <w:r>
        <w:rPr>
          <w:rFonts w:hint="eastAsia" w:ascii="仿宋_GB2312" w:hAnsi="仿宋" w:eastAsia="仿宋_GB2312"/>
          <w:sz w:val="32"/>
          <w:szCs w:val="32"/>
        </w:rPr>
        <w:t>（一）招聘活动情况</w:t>
      </w:r>
      <w:bookmarkEnd w:id="100"/>
      <w:bookmarkEnd w:id="101"/>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2018下半年至2019上半年，我校就业创业中心共举办校园招聘会511场，其中专场招聘491场，行业双选会13场，综合招聘会7场，进校招聘单位共计1390家。（本文所有数据统计截止时间为2019年6月1日）</w:t>
      </w:r>
    </w:p>
    <w:p>
      <w:pPr>
        <w:numPr>
          <w:ilvl w:val="0"/>
          <w:numId w:val="5"/>
        </w:numPr>
        <w:outlineLvl w:val="2"/>
        <w:rPr>
          <w:rFonts w:ascii="仿宋_GB2312" w:hAnsi="宋体" w:eastAsia="仿宋_GB2312"/>
          <w:sz w:val="32"/>
          <w:szCs w:val="32"/>
        </w:rPr>
      </w:pPr>
      <w:bookmarkStart w:id="102" w:name="_Toc18239"/>
      <w:r>
        <w:rPr>
          <w:rFonts w:hint="eastAsia" w:ascii="仿宋_GB2312" w:hAnsi="宋体" w:eastAsia="仿宋_GB2312"/>
          <w:sz w:val="32"/>
          <w:szCs w:val="32"/>
        </w:rPr>
        <w:t>招聘会举办类型与场次</w:t>
      </w:r>
      <w:bookmarkEnd w:id="102"/>
    </w:p>
    <w:tbl>
      <w:tblPr>
        <w:tblStyle w:val="19"/>
        <w:tblW w:w="0" w:type="auto"/>
        <w:tblInd w:w="0" w:type="dxa"/>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Layout w:type="fixed"/>
        <w:tblCellMar>
          <w:top w:w="0" w:type="dxa"/>
          <w:left w:w="108" w:type="dxa"/>
          <w:bottom w:w="0" w:type="dxa"/>
          <w:right w:w="108" w:type="dxa"/>
        </w:tblCellMar>
      </w:tblPr>
      <w:tblGrid>
        <w:gridCol w:w="4253"/>
        <w:gridCol w:w="1134"/>
        <w:gridCol w:w="2977"/>
      </w:tblGrid>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c>
          <w:tcPr>
            <w:tcW w:w="4253" w:type="dxa"/>
            <w:tcBorders>
              <w:top w:val="single" w:color="8064A2" w:sz="8" w:space="0"/>
              <w:left w:val="single" w:color="8064A2" w:sz="8" w:space="0"/>
              <w:bottom w:val="single" w:color="8064A2" w:sz="8" w:space="0"/>
              <w:right w:val="dotted" w:color="auto" w:sz="8" w:space="0"/>
            </w:tcBorders>
            <w:shd w:val="clear" w:color="auto" w:fill="8064A2"/>
          </w:tcPr>
          <w:p>
            <w:pPr>
              <w:jc w:val="center"/>
              <w:rPr>
                <w:rFonts w:ascii="微软雅黑" w:hAnsi="微软雅黑" w:eastAsia="微软雅黑"/>
                <w:b/>
                <w:bCs/>
                <w:color w:val="333333"/>
              </w:rPr>
            </w:pPr>
            <w:bookmarkStart w:id="103" w:name="_Toc23743"/>
            <w:bookmarkStart w:id="104" w:name="_Toc20090"/>
            <w:bookmarkStart w:id="105" w:name="_Toc2691"/>
            <w:bookmarkStart w:id="106" w:name="_Toc20897"/>
            <w:bookmarkStart w:id="107" w:name="_Toc23613"/>
            <w:r>
              <w:rPr>
                <w:rFonts w:hint="eastAsia" w:ascii="微软雅黑" w:hAnsi="微软雅黑" w:eastAsia="微软雅黑"/>
                <w:b/>
                <w:bCs/>
                <w:iCs/>
                <w:color w:val="333333"/>
              </w:rPr>
              <w:t>招聘会类型</w:t>
            </w:r>
          </w:p>
        </w:tc>
        <w:tc>
          <w:tcPr>
            <w:tcW w:w="1134" w:type="dxa"/>
            <w:tcBorders>
              <w:top w:val="single" w:color="8064A2" w:sz="8" w:space="0"/>
              <w:left w:val="dotted" w:color="auto" w:sz="8" w:space="0"/>
              <w:bottom w:val="single" w:color="8064A2" w:sz="8" w:space="0"/>
              <w:right w:val="dotted" w:color="auto" w:sz="8" w:space="0"/>
            </w:tcBorders>
            <w:shd w:val="clear" w:color="auto" w:fill="8064A2"/>
          </w:tcPr>
          <w:p>
            <w:pPr>
              <w:jc w:val="center"/>
              <w:rPr>
                <w:rFonts w:ascii="微软雅黑" w:hAnsi="微软雅黑" w:eastAsia="微软雅黑"/>
                <w:bCs/>
                <w:color w:val="333333"/>
              </w:rPr>
            </w:pPr>
            <w:r>
              <w:rPr>
                <w:rFonts w:hint="eastAsia" w:ascii="微软雅黑" w:hAnsi="微软雅黑" w:eastAsia="微软雅黑"/>
                <w:b/>
                <w:bCs/>
                <w:color w:val="333333"/>
              </w:rPr>
              <w:t>场次</w:t>
            </w:r>
          </w:p>
        </w:tc>
        <w:tc>
          <w:tcPr>
            <w:tcW w:w="2977" w:type="dxa"/>
            <w:tcBorders>
              <w:top w:val="single" w:color="8064A2" w:sz="8" w:space="0"/>
              <w:left w:val="dotted" w:color="auto" w:sz="8" w:space="0"/>
              <w:bottom w:val="single" w:color="8064A2" w:sz="8" w:space="0"/>
              <w:right w:val="single" w:color="8064A2" w:sz="8" w:space="0"/>
            </w:tcBorders>
            <w:shd w:val="clear" w:color="auto" w:fill="8064A2"/>
          </w:tcPr>
          <w:p>
            <w:pPr>
              <w:jc w:val="center"/>
              <w:rPr>
                <w:rFonts w:ascii="微软雅黑" w:hAnsi="微软雅黑" w:eastAsia="微软雅黑"/>
                <w:bCs/>
                <w:color w:val="333333"/>
              </w:rPr>
            </w:pPr>
            <w:r>
              <w:rPr>
                <w:rFonts w:hint="eastAsia" w:ascii="微软雅黑" w:hAnsi="微软雅黑" w:eastAsia="微软雅黑"/>
                <w:b/>
                <w:bCs/>
                <w:color w:val="333333"/>
              </w:rPr>
              <w:t>来校单位数</w:t>
            </w:r>
          </w:p>
        </w:tc>
      </w:tr>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c>
          <w:tcPr>
            <w:tcW w:w="4253" w:type="dxa"/>
            <w:tcBorders>
              <w:top w:val="single" w:color="8064A2" w:sz="8" w:space="0"/>
              <w:left w:val="single" w:color="8064A2" w:sz="8" w:space="0"/>
              <w:bottom w:val="single" w:color="8064A2" w:sz="8" w:space="0"/>
              <w:right w:val="dotted" w:color="auto" w:sz="8" w:space="0"/>
            </w:tcBorders>
            <w:shd w:val="clear" w:color="auto" w:fill="EDEAF0"/>
          </w:tcPr>
          <w:p>
            <w:pPr>
              <w:jc w:val="center"/>
              <w:rPr>
                <w:rFonts w:ascii="微软雅黑" w:hAnsi="微软雅黑" w:eastAsia="微软雅黑"/>
                <w:color w:val="333333"/>
              </w:rPr>
            </w:pPr>
            <w:r>
              <w:rPr>
                <w:rFonts w:hint="eastAsia" w:ascii="微软雅黑" w:hAnsi="微软雅黑" w:eastAsia="微软雅黑"/>
                <w:iCs/>
                <w:color w:val="333333"/>
              </w:rPr>
              <w:t>专场招聘会</w:t>
            </w:r>
          </w:p>
        </w:tc>
        <w:tc>
          <w:tcPr>
            <w:tcW w:w="1134" w:type="dxa"/>
            <w:tcBorders>
              <w:top w:val="single" w:color="8064A2" w:sz="8" w:space="0"/>
              <w:left w:val="dotted" w:color="auto" w:sz="8" w:space="0"/>
              <w:bottom w:val="single" w:color="8064A2" w:sz="8" w:space="0"/>
              <w:right w:val="dotted" w:color="auto" w:sz="8" w:space="0"/>
            </w:tcBorders>
            <w:shd w:val="clear" w:color="auto" w:fill="EDEAF0"/>
          </w:tcPr>
          <w:p>
            <w:pPr>
              <w:jc w:val="center"/>
              <w:rPr>
                <w:rFonts w:ascii="微软雅黑" w:hAnsi="微软雅黑" w:eastAsia="微软雅黑"/>
                <w:color w:val="333333"/>
              </w:rPr>
            </w:pPr>
            <w:r>
              <w:rPr>
                <w:rFonts w:ascii="微软雅黑" w:hAnsi="微软雅黑" w:eastAsia="微软雅黑"/>
                <w:color w:val="333333"/>
              </w:rPr>
              <w:t>491</w:t>
            </w:r>
          </w:p>
        </w:tc>
        <w:tc>
          <w:tcPr>
            <w:tcW w:w="2977" w:type="dxa"/>
            <w:tcBorders>
              <w:top w:val="single" w:color="8064A2" w:sz="8" w:space="0"/>
              <w:left w:val="dotted" w:color="auto" w:sz="8" w:space="0"/>
              <w:bottom w:val="single" w:color="8064A2" w:sz="8" w:space="0"/>
              <w:right w:val="single" w:color="8064A2" w:sz="8" w:space="0"/>
            </w:tcBorders>
            <w:shd w:val="clear" w:color="auto" w:fill="EDEAF0"/>
          </w:tcPr>
          <w:p>
            <w:pPr>
              <w:jc w:val="center"/>
              <w:rPr>
                <w:rFonts w:ascii="微软雅黑" w:hAnsi="微软雅黑" w:eastAsia="微软雅黑"/>
                <w:color w:val="333333"/>
              </w:rPr>
            </w:pPr>
            <w:r>
              <w:rPr>
                <w:rFonts w:ascii="微软雅黑" w:hAnsi="微软雅黑" w:eastAsia="微软雅黑"/>
                <w:color w:val="333333"/>
              </w:rPr>
              <w:t>491</w:t>
            </w:r>
          </w:p>
        </w:tc>
      </w:tr>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c>
          <w:tcPr>
            <w:tcW w:w="4253" w:type="dxa"/>
            <w:tcBorders>
              <w:top w:val="single" w:color="8064A2" w:sz="8" w:space="0"/>
              <w:left w:val="single" w:color="8064A2" w:sz="8" w:space="0"/>
              <w:bottom w:val="single" w:color="8064A2" w:sz="8" w:space="0"/>
              <w:right w:val="dotted" w:color="auto" w:sz="8" w:space="0"/>
            </w:tcBorders>
            <w:shd w:val="clear" w:color="auto" w:fill="FFFFFF"/>
          </w:tcPr>
          <w:p>
            <w:pPr>
              <w:jc w:val="center"/>
              <w:rPr>
                <w:rFonts w:ascii="微软雅黑" w:hAnsi="微软雅黑" w:eastAsia="微软雅黑"/>
                <w:color w:val="333333"/>
              </w:rPr>
            </w:pPr>
            <w:r>
              <w:rPr>
                <w:rFonts w:hint="eastAsia" w:ascii="微软雅黑" w:hAnsi="微软雅黑" w:eastAsia="微软雅黑"/>
                <w:iCs/>
                <w:color w:val="333333"/>
              </w:rPr>
              <w:t>行业双选会</w:t>
            </w:r>
          </w:p>
        </w:tc>
        <w:tc>
          <w:tcPr>
            <w:tcW w:w="1134" w:type="dxa"/>
            <w:tcBorders>
              <w:top w:val="single" w:color="8064A2" w:sz="8" w:space="0"/>
              <w:left w:val="dotted" w:color="auto" w:sz="8" w:space="0"/>
              <w:bottom w:val="single" w:color="8064A2" w:sz="8" w:space="0"/>
              <w:right w:val="dotted" w:color="auto" w:sz="8" w:space="0"/>
            </w:tcBorders>
            <w:shd w:val="clear" w:color="auto" w:fill="FFFFFF"/>
          </w:tcPr>
          <w:p>
            <w:pPr>
              <w:jc w:val="center"/>
              <w:rPr>
                <w:rFonts w:ascii="微软雅黑" w:hAnsi="微软雅黑" w:eastAsia="微软雅黑"/>
                <w:color w:val="333333"/>
              </w:rPr>
            </w:pPr>
            <w:r>
              <w:rPr>
                <w:rFonts w:hint="eastAsia" w:ascii="微软雅黑" w:hAnsi="微软雅黑" w:eastAsia="微软雅黑"/>
                <w:color w:val="333333"/>
              </w:rPr>
              <w:t>13</w:t>
            </w:r>
          </w:p>
        </w:tc>
        <w:tc>
          <w:tcPr>
            <w:tcW w:w="2977" w:type="dxa"/>
            <w:tcBorders>
              <w:top w:val="single" w:color="8064A2" w:sz="8" w:space="0"/>
              <w:left w:val="dotted" w:color="auto" w:sz="8" w:space="0"/>
              <w:bottom w:val="single" w:color="8064A2" w:sz="8" w:space="0"/>
              <w:right w:val="single" w:color="8064A2" w:sz="8" w:space="0"/>
            </w:tcBorders>
            <w:shd w:val="clear" w:color="auto" w:fill="FFFFFF"/>
          </w:tcPr>
          <w:p>
            <w:pPr>
              <w:jc w:val="center"/>
              <w:rPr>
                <w:rFonts w:ascii="微软雅黑" w:hAnsi="微软雅黑" w:eastAsia="微软雅黑"/>
                <w:color w:val="333333"/>
              </w:rPr>
            </w:pPr>
            <w:r>
              <w:rPr>
                <w:rFonts w:hint="eastAsia" w:ascii="微软雅黑" w:hAnsi="微软雅黑" w:eastAsia="微软雅黑"/>
                <w:color w:val="333333"/>
              </w:rPr>
              <w:t>666</w:t>
            </w:r>
          </w:p>
        </w:tc>
      </w:tr>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c>
          <w:tcPr>
            <w:tcW w:w="4253" w:type="dxa"/>
            <w:tcBorders>
              <w:top w:val="single" w:color="8064A2" w:sz="8" w:space="0"/>
              <w:left w:val="single" w:color="8064A2" w:sz="8" w:space="0"/>
              <w:bottom w:val="single" w:color="8064A2" w:sz="8" w:space="0"/>
              <w:right w:val="dotted" w:color="auto" w:sz="8" w:space="0"/>
            </w:tcBorders>
            <w:shd w:val="clear" w:color="auto" w:fill="EDEAF0"/>
          </w:tcPr>
          <w:p>
            <w:pPr>
              <w:jc w:val="center"/>
              <w:rPr>
                <w:rFonts w:ascii="微软雅黑" w:hAnsi="微软雅黑" w:eastAsia="微软雅黑"/>
                <w:iCs/>
                <w:color w:val="333333"/>
              </w:rPr>
            </w:pPr>
            <w:r>
              <w:rPr>
                <w:rFonts w:hint="eastAsia" w:ascii="微软雅黑" w:hAnsi="微软雅黑" w:eastAsia="微软雅黑"/>
                <w:iCs/>
                <w:color w:val="333333"/>
              </w:rPr>
              <w:t>综合招聘会</w:t>
            </w:r>
          </w:p>
          <w:p>
            <w:pPr>
              <w:jc w:val="center"/>
              <w:rPr>
                <w:rFonts w:ascii="微软雅黑" w:hAnsi="微软雅黑" w:eastAsia="微软雅黑"/>
                <w:color w:val="333333"/>
              </w:rPr>
            </w:pPr>
            <w:r>
              <w:rPr>
                <w:rFonts w:hint="eastAsia" w:ascii="微软雅黑" w:hAnsi="微软雅黑" w:eastAsia="微软雅黑"/>
                <w:iCs/>
                <w:color w:val="333333"/>
              </w:rPr>
              <w:t>（包含区域性综合招聘及大型双选会等）</w:t>
            </w:r>
          </w:p>
        </w:tc>
        <w:tc>
          <w:tcPr>
            <w:tcW w:w="1134" w:type="dxa"/>
            <w:tcBorders>
              <w:top w:val="single" w:color="8064A2" w:sz="8" w:space="0"/>
              <w:left w:val="dotted" w:color="auto" w:sz="8" w:space="0"/>
              <w:bottom w:val="single" w:color="8064A2" w:sz="8" w:space="0"/>
              <w:right w:val="dotted" w:color="auto" w:sz="8" w:space="0"/>
            </w:tcBorders>
            <w:shd w:val="clear" w:color="auto" w:fill="EDEAF0"/>
            <w:vAlign w:val="center"/>
          </w:tcPr>
          <w:p>
            <w:pPr>
              <w:jc w:val="center"/>
              <w:rPr>
                <w:rFonts w:ascii="微软雅黑" w:hAnsi="微软雅黑" w:eastAsia="微软雅黑"/>
                <w:color w:val="333333"/>
              </w:rPr>
            </w:pPr>
            <w:r>
              <w:rPr>
                <w:rFonts w:hint="eastAsia" w:ascii="微软雅黑" w:hAnsi="微软雅黑" w:eastAsia="微软雅黑"/>
                <w:color w:val="333333"/>
              </w:rPr>
              <w:t>7</w:t>
            </w:r>
          </w:p>
        </w:tc>
        <w:tc>
          <w:tcPr>
            <w:tcW w:w="2977" w:type="dxa"/>
            <w:tcBorders>
              <w:top w:val="single" w:color="8064A2" w:sz="8" w:space="0"/>
              <w:left w:val="dotted" w:color="auto" w:sz="8" w:space="0"/>
              <w:bottom w:val="single" w:color="8064A2" w:sz="8" w:space="0"/>
              <w:right w:val="single" w:color="8064A2" w:sz="8" w:space="0"/>
            </w:tcBorders>
            <w:shd w:val="clear" w:color="auto" w:fill="EDEAF0"/>
            <w:vAlign w:val="center"/>
          </w:tcPr>
          <w:p>
            <w:pPr>
              <w:jc w:val="center"/>
              <w:rPr>
                <w:rFonts w:ascii="微软雅黑" w:hAnsi="微软雅黑" w:eastAsia="微软雅黑"/>
                <w:color w:val="333333"/>
              </w:rPr>
            </w:pPr>
            <w:r>
              <w:rPr>
                <w:rFonts w:hint="eastAsia" w:ascii="微软雅黑" w:hAnsi="微软雅黑" w:eastAsia="微软雅黑"/>
                <w:color w:val="333333"/>
              </w:rPr>
              <w:t>233</w:t>
            </w:r>
          </w:p>
        </w:tc>
      </w:tr>
      <w:tr>
        <w:tblPrEx>
          <w:tblBorders>
            <w:top w:val="single" w:color="548DD4" w:sz="4" w:space="0"/>
            <w:left w:val="single" w:color="548DD4" w:sz="4" w:space="0"/>
            <w:bottom w:val="single" w:color="548DD4" w:sz="4" w:space="0"/>
            <w:right w:val="single" w:color="548DD4" w:sz="4" w:space="0"/>
            <w:insideH w:val="single" w:color="548DD4" w:sz="4" w:space="0"/>
            <w:insideV w:val="single" w:color="548DD4" w:sz="4" w:space="0"/>
          </w:tblBorders>
          <w:tblCellMar>
            <w:top w:w="0" w:type="dxa"/>
            <w:left w:w="108" w:type="dxa"/>
            <w:bottom w:w="0" w:type="dxa"/>
            <w:right w:w="108" w:type="dxa"/>
          </w:tblCellMar>
        </w:tblPrEx>
        <w:tc>
          <w:tcPr>
            <w:tcW w:w="4253" w:type="dxa"/>
            <w:tcBorders>
              <w:top w:val="single" w:color="8064A2" w:sz="8" w:space="0"/>
              <w:left w:val="single" w:color="8064A2" w:sz="8" w:space="0"/>
              <w:bottom w:val="single" w:color="8064A2" w:sz="8" w:space="0"/>
              <w:right w:val="dotted" w:color="auto" w:sz="8" w:space="0"/>
            </w:tcBorders>
            <w:shd w:val="clear" w:color="auto" w:fill="FFFFFF"/>
          </w:tcPr>
          <w:p>
            <w:pPr>
              <w:jc w:val="center"/>
              <w:rPr>
                <w:rFonts w:ascii="微软雅黑" w:hAnsi="微软雅黑" w:eastAsia="微软雅黑"/>
                <w:iCs/>
                <w:color w:val="333333"/>
              </w:rPr>
            </w:pPr>
            <w:r>
              <w:rPr>
                <w:rFonts w:hint="eastAsia" w:ascii="微软雅黑" w:hAnsi="微软雅黑" w:eastAsia="微软雅黑"/>
                <w:iCs/>
                <w:color w:val="333333"/>
              </w:rPr>
              <w:t>总计</w:t>
            </w:r>
          </w:p>
        </w:tc>
        <w:tc>
          <w:tcPr>
            <w:tcW w:w="1134" w:type="dxa"/>
            <w:tcBorders>
              <w:top w:val="single" w:color="8064A2" w:sz="8" w:space="0"/>
              <w:left w:val="dotted" w:color="auto" w:sz="8" w:space="0"/>
              <w:bottom w:val="single" w:color="8064A2" w:sz="8" w:space="0"/>
              <w:right w:val="dotted" w:color="auto" w:sz="8" w:space="0"/>
            </w:tcBorders>
            <w:shd w:val="clear" w:color="auto" w:fill="FFFFFF"/>
          </w:tcPr>
          <w:p>
            <w:pPr>
              <w:jc w:val="center"/>
              <w:rPr>
                <w:rFonts w:ascii="微软雅黑" w:hAnsi="微软雅黑" w:eastAsia="微软雅黑"/>
                <w:iCs/>
                <w:color w:val="333333"/>
              </w:rPr>
            </w:pPr>
            <w:r>
              <w:rPr>
                <w:rFonts w:ascii="微软雅黑" w:hAnsi="微软雅黑" w:eastAsia="微软雅黑"/>
                <w:iCs/>
                <w:color w:val="333333"/>
              </w:rPr>
              <w:t>511</w:t>
            </w:r>
          </w:p>
        </w:tc>
        <w:tc>
          <w:tcPr>
            <w:tcW w:w="2977" w:type="dxa"/>
            <w:tcBorders>
              <w:top w:val="single" w:color="8064A2" w:sz="8" w:space="0"/>
              <w:left w:val="dotted" w:color="auto" w:sz="8" w:space="0"/>
              <w:bottom w:val="single" w:color="8064A2" w:sz="8" w:space="0"/>
              <w:right w:val="single" w:color="8064A2" w:sz="8" w:space="0"/>
            </w:tcBorders>
            <w:shd w:val="clear" w:color="auto" w:fill="FFFFFF"/>
          </w:tcPr>
          <w:p>
            <w:pPr>
              <w:keepNext/>
              <w:jc w:val="center"/>
              <w:rPr>
                <w:rFonts w:ascii="微软雅黑" w:hAnsi="微软雅黑" w:eastAsia="微软雅黑"/>
                <w:iCs/>
                <w:color w:val="333333"/>
              </w:rPr>
            </w:pPr>
            <w:r>
              <w:rPr>
                <w:rFonts w:hint="eastAsia" w:ascii="微软雅黑" w:hAnsi="微软雅黑" w:eastAsia="微软雅黑"/>
                <w:iCs/>
                <w:color w:val="333333"/>
              </w:rPr>
              <w:t>1390</w:t>
            </w:r>
          </w:p>
        </w:tc>
      </w:tr>
      <w:bookmarkEnd w:id="103"/>
      <w:bookmarkEnd w:id="104"/>
      <w:bookmarkEnd w:id="105"/>
      <w:bookmarkEnd w:id="106"/>
      <w:bookmarkEnd w:id="107"/>
    </w:tbl>
    <w:p>
      <w:pPr>
        <w:jc w:val="left"/>
        <w:rPr>
          <w:rFonts w:ascii="仿宋_GB2312" w:hAnsi="仿宋" w:eastAsia="仿宋_GB2312"/>
          <w:sz w:val="32"/>
          <w:szCs w:val="32"/>
        </w:rPr>
        <w:sectPr>
          <w:footerReference r:id="rId5" w:type="default"/>
          <w:pgSz w:w="11906" w:h="16838"/>
          <w:pgMar w:top="1440" w:right="1800" w:bottom="1134" w:left="1800" w:header="851" w:footer="539" w:gutter="0"/>
          <w:pgNumType w:start="1"/>
          <w:cols w:space="720" w:num="1"/>
          <w:docGrid w:type="lines" w:linePitch="312" w:charSpace="0"/>
        </w:sectPr>
      </w:pPr>
    </w:p>
    <w:p>
      <w:pPr>
        <w:outlineLvl w:val="2"/>
        <w:rPr>
          <w:rFonts w:ascii="仿宋_GB2312" w:hAnsi="宋体" w:eastAsia="仿宋_GB2312"/>
          <w:sz w:val="32"/>
          <w:szCs w:val="32"/>
        </w:rPr>
      </w:pPr>
      <w:bookmarkStart w:id="108" w:name="_Toc17246"/>
      <w:bookmarkStart w:id="109" w:name="_Toc6536"/>
      <w:bookmarkStart w:id="110" w:name="_Toc1633"/>
      <w:bookmarkStart w:id="111" w:name="_Toc15602"/>
      <w:bookmarkStart w:id="112" w:name="_Toc19015"/>
      <w:bookmarkStart w:id="113" w:name="_Toc8040"/>
      <w:bookmarkStart w:id="114" w:name="_Toc13545"/>
      <w:bookmarkStart w:id="115" w:name="_Toc10569"/>
      <w:r>
        <w:rPr>
          <w:rFonts w:hint="eastAsia" w:ascii="仿宋_GB2312" w:hAnsi="宋体" w:eastAsia="仿宋_GB2312"/>
          <w:sz w:val="32"/>
          <w:szCs w:val="32"/>
        </w:rPr>
        <w:drawing>
          <wp:anchor distT="0" distB="0" distL="114300" distR="114300" simplePos="0" relativeHeight="251655168" behindDoc="1" locked="0" layoutInCell="1" allowOverlap="1">
            <wp:simplePos x="0" y="0"/>
            <wp:positionH relativeFrom="column">
              <wp:posOffset>-15240</wp:posOffset>
            </wp:positionH>
            <wp:positionV relativeFrom="paragraph">
              <wp:posOffset>534670</wp:posOffset>
            </wp:positionV>
            <wp:extent cx="5318760" cy="3009900"/>
            <wp:effectExtent l="4445" t="5080" r="10795" b="13970"/>
            <wp:wrapTight wrapText="bothSides">
              <wp:wrapPolygon>
                <wp:start x="-18" y="-36"/>
                <wp:lineTo x="-18" y="21564"/>
                <wp:lineTo x="21566" y="21564"/>
                <wp:lineTo x="21566" y="-36"/>
                <wp:lineTo x="-18" y="-36"/>
              </wp:wrapPolygon>
            </wp:wrapTight>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hint="eastAsia" w:ascii="仿宋_GB2312" w:hAnsi="宋体" w:eastAsia="仿宋_GB2312"/>
          <w:sz w:val="32"/>
          <w:szCs w:val="32"/>
        </w:rPr>
        <w:t>2.来校招聘单位情况分布图</w:t>
      </w:r>
      <w:bookmarkEnd w:id="108"/>
    </w:p>
    <w:p>
      <w:pPr>
        <w:outlineLvl w:val="2"/>
        <w:rPr>
          <w:rFonts w:ascii="仿宋_GB2312" w:hAnsi="宋体" w:eastAsia="仿宋_GB2312"/>
          <w:sz w:val="32"/>
          <w:szCs w:val="32"/>
        </w:rPr>
      </w:pPr>
      <w:bookmarkStart w:id="116" w:name="_Toc20315"/>
      <w:r>
        <w:rPr>
          <w:rFonts w:hint="eastAsia" w:ascii="仿宋_GB2312" w:hAnsi="宋体" w:eastAsia="仿宋_GB2312"/>
          <w:sz w:val="32"/>
          <w:szCs w:val="32"/>
        </w:rPr>
        <w:t>3.各月份招聘统计表</w:t>
      </w:r>
      <w:bookmarkEnd w:id="116"/>
    </w:p>
    <w:p>
      <w:pPr>
        <w:widowControl/>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就招聘会举办的时间来看，整个学年的招聘高峰期为秋季学期的10月、11月以及春季学期的3月、4月，分别占整个年度来校单位总数的28.13%、18.27%、18.78%、28.06%。</w:t>
      </w:r>
    </w:p>
    <w:tbl>
      <w:tblPr>
        <w:tblStyle w:val="19"/>
        <w:tblpPr w:leftFromText="180" w:rightFromText="180" w:vertAnchor="text" w:horzAnchor="page" w:tblpX="1754" w:tblpY="307"/>
        <w:tblOverlap w:val="never"/>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057"/>
        <w:gridCol w:w="760"/>
        <w:gridCol w:w="736"/>
        <w:gridCol w:w="703"/>
        <w:gridCol w:w="828"/>
        <w:gridCol w:w="125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00" w:type="dxa"/>
            <w:vMerge w:val="restart"/>
            <w:tcBorders>
              <w:top w:val="single" w:color="000000" w:sz="12" w:space="0"/>
              <w:left w:val="dotted" w:color="auto" w:sz="4" w:space="0"/>
              <w:bottom w:val="single" w:color="000000" w:sz="12" w:space="0"/>
              <w:right w:val="dotted" w:color="auto" w:sz="4" w:space="0"/>
            </w:tcBorders>
            <w:shd w:val="clear" w:color="auto" w:fill="8064A2"/>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举办时间</w:t>
            </w:r>
          </w:p>
        </w:tc>
        <w:tc>
          <w:tcPr>
            <w:tcW w:w="1057" w:type="dxa"/>
            <w:vMerge w:val="restart"/>
            <w:tcBorders>
              <w:top w:val="single" w:color="000000" w:sz="12" w:space="0"/>
              <w:left w:val="dotted" w:color="auto" w:sz="4" w:space="0"/>
              <w:bottom w:val="single" w:color="000000" w:sz="12" w:space="0"/>
              <w:right w:val="dotted" w:color="auto" w:sz="4" w:space="0"/>
            </w:tcBorders>
            <w:shd w:val="clear" w:color="auto" w:fill="8064A2"/>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专场招聘会</w:t>
            </w:r>
          </w:p>
        </w:tc>
        <w:tc>
          <w:tcPr>
            <w:tcW w:w="1496" w:type="dxa"/>
            <w:gridSpan w:val="2"/>
            <w:tcBorders>
              <w:top w:val="single" w:color="000000" w:sz="12" w:space="0"/>
              <w:left w:val="dotted" w:color="auto" w:sz="4" w:space="0"/>
              <w:bottom w:val="single" w:color="000000" w:sz="12" w:space="0"/>
              <w:right w:val="dotted" w:color="auto" w:sz="4" w:space="0"/>
            </w:tcBorders>
            <w:shd w:val="clear" w:color="auto" w:fill="8064A2"/>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行业双选会</w:t>
            </w:r>
          </w:p>
        </w:tc>
        <w:tc>
          <w:tcPr>
            <w:tcW w:w="1531" w:type="dxa"/>
            <w:gridSpan w:val="2"/>
            <w:tcBorders>
              <w:top w:val="single" w:color="000000" w:sz="12" w:space="0"/>
              <w:left w:val="dotted" w:color="auto" w:sz="4" w:space="0"/>
              <w:bottom w:val="single" w:color="000000" w:sz="12" w:space="0"/>
              <w:right w:val="dotted" w:color="auto" w:sz="4" w:space="0"/>
            </w:tcBorders>
            <w:shd w:val="clear" w:color="auto" w:fill="8064A2"/>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综合招聘会</w:t>
            </w:r>
          </w:p>
        </w:tc>
        <w:tc>
          <w:tcPr>
            <w:tcW w:w="2733" w:type="dxa"/>
            <w:gridSpan w:val="2"/>
            <w:tcBorders>
              <w:top w:val="single" w:color="000000" w:sz="12" w:space="0"/>
              <w:left w:val="dotted" w:color="auto" w:sz="4" w:space="0"/>
              <w:bottom w:val="single" w:color="000000" w:sz="12" w:space="0"/>
              <w:right w:val="dotted" w:color="auto" w:sz="4" w:space="0"/>
            </w:tcBorders>
            <w:shd w:val="clear" w:color="auto" w:fill="8064A2"/>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总来校单位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00" w:type="dxa"/>
            <w:vMerge w:val="continue"/>
            <w:tcBorders>
              <w:top w:val="single" w:color="000000" w:sz="12" w:space="0"/>
              <w:left w:val="dotted" w:color="auto" w:sz="4" w:space="0"/>
              <w:bottom w:val="dotted" w:color="auto" w:sz="4" w:space="0"/>
              <w:right w:val="dotted" w:color="auto" w:sz="4" w:space="0"/>
            </w:tcBorders>
            <w:shd w:val="clear" w:color="auto" w:fill="E7E7E7"/>
            <w:vAlign w:val="center"/>
          </w:tcPr>
          <w:p>
            <w:pPr>
              <w:widowControl/>
              <w:jc w:val="left"/>
              <w:rPr>
                <w:rFonts w:ascii="等线" w:hAnsi="等线" w:eastAsia="等线" w:cs="宋体"/>
                <w:color w:val="000000"/>
                <w:kern w:val="0"/>
                <w:sz w:val="24"/>
                <w:szCs w:val="21"/>
              </w:rPr>
            </w:pPr>
          </w:p>
        </w:tc>
        <w:tc>
          <w:tcPr>
            <w:tcW w:w="1057" w:type="dxa"/>
            <w:vMerge w:val="continue"/>
            <w:tcBorders>
              <w:top w:val="single" w:color="000000" w:sz="12" w:space="0"/>
              <w:left w:val="dotted" w:color="auto" w:sz="4" w:space="0"/>
              <w:bottom w:val="dotted" w:color="auto" w:sz="4" w:space="0"/>
              <w:right w:val="dotted" w:color="auto" w:sz="4" w:space="0"/>
            </w:tcBorders>
            <w:shd w:val="clear" w:color="auto" w:fill="E7E7E7"/>
            <w:vAlign w:val="center"/>
          </w:tcPr>
          <w:p>
            <w:pPr>
              <w:widowControl/>
              <w:jc w:val="left"/>
              <w:rPr>
                <w:rFonts w:ascii="等线" w:hAnsi="等线" w:eastAsia="等线" w:cs="宋体"/>
                <w:color w:val="000000"/>
                <w:kern w:val="0"/>
                <w:sz w:val="24"/>
                <w:szCs w:val="21"/>
              </w:rPr>
            </w:pPr>
          </w:p>
        </w:tc>
        <w:tc>
          <w:tcPr>
            <w:tcW w:w="760" w:type="dxa"/>
            <w:tcBorders>
              <w:top w:val="single" w:color="000000" w:sz="12" w:space="0"/>
              <w:left w:val="dotted" w:color="auto" w:sz="4" w:space="0"/>
              <w:bottom w:val="dotted" w:color="auto" w:sz="4" w:space="0"/>
              <w:right w:val="dotted" w:color="auto" w:sz="4" w:space="0"/>
            </w:tcBorders>
            <w:shd w:val="clear" w:color="auto" w:fill="8064A2" w:themeFill="accent4"/>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场次</w:t>
            </w:r>
          </w:p>
        </w:tc>
        <w:tc>
          <w:tcPr>
            <w:tcW w:w="736" w:type="dxa"/>
            <w:tcBorders>
              <w:top w:val="single" w:color="000000" w:sz="12" w:space="0"/>
              <w:left w:val="dotted" w:color="auto" w:sz="4" w:space="0"/>
              <w:bottom w:val="dotted" w:color="auto" w:sz="4" w:space="0"/>
              <w:right w:val="dotted" w:color="auto" w:sz="4" w:space="0"/>
            </w:tcBorders>
            <w:shd w:val="clear" w:color="auto" w:fill="8064A2" w:themeFill="accent4"/>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单位数量</w:t>
            </w:r>
          </w:p>
        </w:tc>
        <w:tc>
          <w:tcPr>
            <w:tcW w:w="703" w:type="dxa"/>
            <w:tcBorders>
              <w:top w:val="single" w:color="000000" w:sz="12" w:space="0"/>
              <w:left w:val="dotted" w:color="auto" w:sz="4" w:space="0"/>
              <w:bottom w:val="dotted" w:color="auto" w:sz="4" w:space="0"/>
              <w:right w:val="dotted" w:color="auto" w:sz="4" w:space="0"/>
            </w:tcBorders>
            <w:shd w:val="clear" w:color="auto" w:fill="8064A2" w:themeFill="accent4"/>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场次</w:t>
            </w:r>
          </w:p>
        </w:tc>
        <w:tc>
          <w:tcPr>
            <w:tcW w:w="828" w:type="dxa"/>
            <w:tcBorders>
              <w:top w:val="single" w:color="000000" w:sz="12" w:space="0"/>
              <w:left w:val="dotted" w:color="auto" w:sz="4" w:space="0"/>
              <w:bottom w:val="dotted" w:color="auto" w:sz="4" w:space="0"/>
              <w:right w:val="dotted" w:color="auto" w:sz="4" w:space="0"/>
            </w:tcBorders>
            <w:shd w:val="clear" w:color="auto" w:fill="8064A2" w:themeFill="accent4"/>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单位数量</w:t>
            </w:r>
          </w:p>
        </w:tc>
        <w:tc>
          <w:tcPr>
            <w:tcW w:w="1250" w:type="dxa"/>
            <w:tcBorders>
              <w:top w:val="single" w:color="000000" w:sz="12" w:space="0"/>
              <w:left w:val="dotted" w:color="auto" w:sz="4" w:space="0"/>
              <w:bottom w:val="dotted" w:color="auto" w:sz="4" w:space="0"/>
              <w:right w:val="dotted" w:color="auto" w:sz="4" w:space="0"/>
            </w:tcBorders>
            <w:shd w:val="clear" w:color="auto" w:fill="8064A2" w:themeFill="accent4"/>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数量</w:t>
            </w:r>
          </w:p>
        </w:tc>
        <w:tc>
          <w:tcPr>
            <w:tcW w:w="1483" w:type="dxa"/>
            <w:tcBorders>
              <w:top w:val="single" w:color="000000" w:sz="12" w:space="0"/>
              <w:left w:val="dotted" w:color="auto" w:sz="4" w:space="0"/>
              <w:bottom w:val="dotted" w:color="auto" w:sz="4" w:space="0"/>
              <w:right w:val="dotted" w:color="auto" w:sz="4" w:space="0"/>
            </w:tcBorders>
            <w:shd w:val="clear" w:color="auto" w:fill="8064A2" w:themeFill="accent4"/>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占招聘单位比例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2018年9月</w:t>
            </w:r>
          </w:p>
        </w:tc>
        <w:tc>
          <w:tcPr>
            <w:tcW w:w="1057"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46</w:t>
            </w:r>
          </w:p>
        </w:tc>
        <w:tc>
          <w:tcPr>
            <w:tcW w:w="76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36"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0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w:t>
            </w:r>
          </w:p>
        </w:tc>
        <w:tc>
          <w:tcPr>
            <w:tcW w:w="828"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22</w:t>
            </w:r>
          </w:p>
        </w:tc>
        <w:tc>
          <w:tcPr>
            <w:tcW w:w="1250"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68</w:t>
            </w:r>
          </w:p>
        </w:tc>
        <w:tc>
          <w:tcPr>
            <w:tcW w:w="148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2018年10月</w:t>
            </w:r>
          </w:p>
        </w:tc>
        <w:tc>
          <w:tcPr>
            <w:tcW w:w="1057"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137</w:t>
            </w:r>
          </w:p>
        </w:tc>
        <w:tc>
          <w:tcPr>
            <w:tcW w:w="76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5</w:t>
            </w:r>
          </w:p>
        </w:tc>
        <w:tc>
          <w:tcPr>
            <w:tcW w:w="736"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254</w:t>
            </w:r>
          </w:p>
        </w:tc>
        <w:tc>
          <w:tcPr>
            <w:tcW w:w="703"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828"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125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391</w:t>
            </w:r>
          </w:p>
        </w:tc>
        <w:tc>
          <w:tcPr>
            <w:tcW w:w="1483"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2018年11月</w:t>
            </w:r>
          </w:p>
        </w:tc>
        <w:tc>
          <w:tcPr>
            <w:tcW w:w="1057"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95</w:t>
            </w:r>
          </w:p>
        </w:tc>
        <w:tc>
          <w:tcPr>
            <w:tcW w:w="76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w:t>
            </w:r>
          </w:p>
        </w:tc>
        <w:tc>
          <w:tcPr>
            <w:tcW w:w="736"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84</w:t>
            </w:r>
          </w:p>
        </w:tc>
        <w:tc>
          <w:tcPr>
            <w:tcW w:w="70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w:t>
            </w:r>
          </w:p>
        </w:tc>
        <w:tc>
          <w:tcPr>
            <w:tcW w:w="828"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75</w:t>
            </w:r>
          </w:p>
        </w:tc>
        <w:tc>
          <w:tcPr>
            <w:tcW w:w="125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254</w:t>
            </w:r>
          </w:p>
        </w:tc>
        <w:tc>
          <w:tcPr>
            <w:tcW w:w="148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2018年12月</w:t>
            </w:r>
          </w:p>
        </w:tc>
        <w:tc>
          <w:tcPr>
            <w:tcW w:w="1057"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14</w:t>
            </w:r>
          </w:p>
        </w:tc>
        <w:tc>
          <w:tcPr>
            <w:tcW w:w="76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36"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03"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828"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125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14</w:t>
            </w:r>
          </w:p>
        </w:tc>
        <w:tc>
          <w:tcPr>
            <w:tcW w:w="1483"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2019年 1 月</w:t>
            </w:r>
          </w:p>
        </w:tc>
        <w:tc>
          <w:tcPr>
            <w:tcW w:w="1057"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w:t>
            </w:r>
          </w:p>
        </w:tc>
        <w:tc>
          <w:tcPr>
            <w:tcW w:w="76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36"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0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828"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125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w:t>
            </w:r>
          </w:p>
        </w:tc>
        <w:tc>
          <w:tcPr>
            <w:tcW w:w="148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2019年 2 月</w:t>
            </w:r>
          </w:p>
        </w:tc>
        <w:tc>
          <w:tcPr>
            <w:tcW w:w="1057"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6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36"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03"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828"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1250"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1483" w:type="dxa"/>
            <w:tcBorders>
              <w:top w:val="dotted" w:color="auto" w:sz="4" w:space="0"/>
              <w:left w:val="dotted" w:color="auto" w:sz="4" w:space="0"/>
              <w:bottom w:val="dotted" w:color="auto" w:sz="4"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2019年3月</w:t>
            </w:r>
          </w:p>
        </w:tc>
        <w:tc>
          <w:tcPr>
            <w:tcW w:w="1057"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127</w:t>
            </w:r>
          </w:p>
        </w:tc>
        <w:tc>
          <w:tcPr>
            <w:tcW w:w="760"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3</w:t>
            </w:r>
          </w:p>
        </w:tc>
        <w:tc>
          <w:tcPr>
            <w:tcW w:w="736"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108</w:t>
            </w:r>
          </w:p>
        </w:tc>
        <w:tc>
          <w:tcPr>
            <w:tcW w:w="703"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w:t>
            </w:r>
          </w:p>
        </w:tc>
        <w:tc>
          <w:tcPr>
            <w:tcW w:w="828"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26</w:t>
            </w:r>
          </w:p>
        </w:tc>
        <w:tc>
          <w:tcPr>
            <w:tcW w:w="1250"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261</w:t>
            </w:r>
          </w:p>
        </w:tc>
        <w:tc>
          <w:tcPr>
            <w:tcW w:w="1483" w:type="dxa"/>
            <w:tcBorders>
              <w:top w:val="dotted" w:color="auto" w:sz="4" w:space="0"/>
              <w:left w:val="dotted" w:color="auto" w:sz="4" w:space="0"/>
              <w:bottom w:val="dotted" w:color="auto" w:sz="4" w:space="0"/>
              <w:right w:val="dotted" w:color="auto" w:sz="4" w:space="0"/>
            </w:tcBorders>
            <w:shd w:val="clear" w:color="000000"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2019年4月</w:t>
            </w:r>
          </w:p>
        </w:tc>
        <w:tc>
          <w:tcPr>
            <w:tcW w:w="1057"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60</w:t>
            </w:r>
          </w:p>
        </w:tc>
        <w:tc>
          <w:tcPr>
            <w:tcW w:w="760"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4</w:t>
            </w:r>
          </w:p>
        </w:tc>
        <w:tc>
          <w:tcPr>
            <w:tcW w:w="736"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220</w:t>
            </w:r>
          </w:p>
        </w:tc>
        <w:tc>
          <w:tcPr>
            <w:tcW w:w="703"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3</w:t>
            </w:r>
          </w:p>
        </w:tc>
        <w:tc>
          <w:tcPr>
            <w:tcW w:w="828"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110</w:t>
            </w:r>
          </w:p>
        </w:tc>
        <w:tc>
          <w:tcPr>
            <w:tcW w:w="1250"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390</w:t>
            </w:r>
          </w:p>
        </w:tc>
        <w:tc>
          <w:tcPr>
            <w:tcW w:w="1483" w:type="dxa"/>
            <w:tcBorders>
              <w:top w:val="dotted" w:color="auto" w:sz="4" w:space="0"/>
              <w:left w:val="dotted" w:color="auto" w:sz="4" w:space="0"/>
              <w:bottom w:val="dotted" w:color="auto" w:sz="4" w:space="0"/>
              <w:right w:val="dotted" w:color="auto" w:sz="4" w:space="0"/>
            </w:tcBorders>
            <w:shd w:val="clear" w:color="000000"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2019年5月</w:t>
            </w:r>
          </w:p>
        </w:tc>
        <w:tc>
          <w:tcPr>
            <w:tcW w:w="1057"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10</w:t>
            </w:r>
          </w:p>
        </w:tc>
        <w:tc>
          <w:tcPr>
            <w:tcW w:w="76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36"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70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828"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w:t>
            </w:r>
          </w:p>
        </w:tc>
        <w:tc>
          <w:tcPr>
            <w:tcW w:w="1250"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10</w:t>
            </w:r>
          </w:p>
        </w:tc>
        <w:tc>
          <w:tcPr>
            <w:tcW w:w="1483" w:type="dxa"/>
            <w:tcBorders>
              <w:top w:val="dotted" w:color="auto" w:sz="4" w:space="0"/>
              <w:left w:val="dotted" w:color="auto" w:sz="4" w:space="0"/>
              <w:bottom w:val="dotted" w:color="auto" w:sz="4" w:space="0"/>
              <w:right w:val="dotted" w:color="auto" w:sz="4" w:space="0"/>
            </w:tcBorders>
            <w:shd w:val="clear" w:color="auto" w:fill="FFFFFF"/>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00"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合计</w:t>
            </w:r>
          </w:p>
        </w:tc>
        <w:tc>
          <w:tcPr>
            <w:tcW w:w="1057"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491</w:t>
            </w:r>
          </w:p>
        </w:tc>
        <w:tc>
          <w:tcPr>
            <w:tcW w:w="760"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13</w:t>
            </w:r>
          </w:p>
        </w:tc>
        <w:tc>
          <w:tcPr>
            <w:tcW w:w="736"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666</w:t>
            </w:r>
          </w:p>
        </w:tc>
        <w:tc>
          <w:tcPr>
            <w:tcW w:w="703"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7</w:t>
            </w:r>
          </w:p>
        </w:tc>
        <w:tc>
          <w:tcPr>
            <w:tcW w:w="828"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233</w:t>
            </w:r>
          </w:p>
        </w:tc>
        <w:tc>
          <w:tcPr>
            <w:tcW w:w="1250"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1390</w:t>
            </w:r>
          </w:p>
        </w:tc>
        <w:tc>
          <w:tcPr>
            <w:tcW w:w="1483" w:type="dxa"/>
            <w:tcBorders>
              <w:top w:val="dotted" w:color="auto" w:sz="4" w:space="0"/>
              <w:left w:val="dotted" w:color="auto" w:sz="4" w:space="0"/>
              <w:bottom w:val="single" w:color="000000" w:sz="12" w:space="0"/>
              <w:right w:val="dotted" w:color="auto" w:sz="4" w:space="0"/>
            </w:tcBorders>
            <w:shd w:val="clear" w:color="auto" w:fill="E7E7E7"/>
            <w:vAlign w:val="center"/>
          </w:tcPr>
          <w:p>
            <w:pPr>
              <w:widowControl/>
              <w:jc w:val="center"/>
              <w:rPr>
                <w:rFonts w:ascii="等线" w:hAnsi="等线" w:eastAsia="等线" w:cs="宋体"/>
                <w:color w:val="000000"/>
                <w:kern w:val="0"/>
                <w:sz w:val="24"/>
                <w:szCs w:val="21"/>
              </w:rPr>
            </w:pPr>
            <w:r>
              <w:rPr>
                <w:rFonts w:hint="eastAsia" w:ascii="等线" w:hAnsi="等线" w:eastAsia="等线" w:cs="宋体"/>
                <w:color w:val="000000"/>
                <w:kern w:val="0"/>
                <w:sz w:val="24"/>
                <w:szCs w:val="21"/>
              </w:rPr>
              <w:t>100.00%</w:t>
            </w:r>
          </w:p>
        </w:tc>
      </w:tr>
    </w:tbl>
    <w:p>
      <w:pPr>
        <w:outlineLvl w:val="2"/>
        <w:rPr>
          <w:rFonts w:ascii="仿宋_GB2312" w:hAnsi="宋体" w:eastAsia="仿宋_GB2312"/>
          <w:sz w:val="32"/>
          <w:szCs w:val="32"/>
        </w:rPr>
      </w:pPr>
    </w:p>
    <w:p>
      <w:pPr>
        <w:outlineLvl w:val="2"/>
        <w:rPr>
          <w:rFonts w:ascii="仿宋_GB2312" w:hAnsi="宋体" w:eastAsia="仿宋_GB2312"/>
          <w:sz w:val="32"/>
          <w:szCs w:val="32"/>
          <w:lang w:val="en-GB"/>
        </w:rPr>
      </w:pPr>
      <w:bookmarkStart w:id="117" w:name="_Toc32131"/>
      <w:r>
        <w:rPr>
          <w:rFonts w:hint="eastAsia" w:ascii="仿宋_GB2312" w:hAnsi="宋体" w:eastAsia="仿宋_GB2312"/>
          <w:sz w:val="32"/>
          <w:szCs w:val="32"/>
        </w:rPr>
        <w:drawing>
          <wp:anchor distT="0" distB="0" distL="114300" distR="114300" simplePos="0" relativeHeight="251656192" behindDoc="1" locked="0" layoutInCell="1" allowOverlap="1">
            <wp:simplePos x="0" y="0"/>
            <wp:positionH relativeFrom="column">
              <wp:posOffset>0</wp:posOffset>
            </wp:positionH>
            <wp:positionV relativeFrom="paragraph">
              <wp:posOffset>35560</wp:posOffset>
            </wp:positionV>
            <wp:extent cx="5311140" cy="3078480"/>
            <wp:effectExtent l="0" t="0" r="22860" b="26670"/>
            <wp:wrapTight wrapText="bothSides">
              <wp:wrapPolygon>
                <wp:start x="0" y="0"/>
                <wp:lineTo x="0" y="21653"/>
                <wp:lineTo x="21615" y="21653"/>
                <wp:lineTo x="21615"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hint="eastAsia" w:ascii="仿宋_GB2312" w:hAnsi="宋体" w:eastAsia="仿宋_GB2312"/>
          <w:sz w:val="32"/>
          <w:szCs w:val="32"/>
        </w:rPr>
        <w:t>4.各月综合双选会单位数量统计</w:t>
      </w:r>
      <w:bookmarkEnd w:id="117"/>
    </w:p>
    <w:p>
      <w:pPr>
        <w:widowControl/>
        <w:jc w:val="left"/>
        <w:rPr>
          <w:rFonts w:ascii="微软雅黑" w:hAnsi="微软雅黑" w:eastAsia="微软雅黑"/>
          <w:color w:val="333333"/>
          <w:lang w:val="en-GB"/>
        </w:rPr>
      </w:pPr>
      <w:r>
        <w:rPr>
          <w:rFonts w:hint="eastAsia" w:ascii="微软雅黑" w:hAnsi="微软雅黑" w:eastAsia="微软雅黑"/>
          <w:color w:val="333333"/>
        </w:rPr>
        <w:drawing>
          <wp:inline distT="0" distB="0" distL="0" distR="0">
            <wp:extent cx="5273040" cy="3703320"/>
            <wp:effectExtent l="0" t="0" r="22860" b="1143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widowControl/>
        <w:jc w:val="left"/>
        <w:rPr>
          <w:rFonts w:ascii="仿宋_GB2312" w:hAnsi="仿宋" w:eastAsia="仿宋_GB2312"/>
          <w:sz w:val="32"/>
          <w:szCs w:val="32"/>
        </w:rPr>
      </w:pPr>
      <w:r>
        <w:rPr>
          <w:rFonts w:hint="eastAsia" w:ascii="仿宋_GB2312" w:hAnsi="宋体" w:eastAsia="仿宋_GB2312"/>
          <w:sz w:val="32"/>
          <w:szCs w:val="32"/>
        </w:rPr>
        <w:t>5.来校招聘单位性质情况</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2018下半年至2019上半年来校举办专场招聘会的用人单位共计491家。其中，国有企业41家，约占来校单位总数的8%；外资企业182家，占来校单位数37%；私企/民营193家，占来校单位总数40%；上市公司49家，占来校单位总数的10%；其他企业26家，占来校单位总数5%。</w:t>
      </w:r>
    </w:p>
    <w:p>
      <w:pPr>
        <w:keepNext/>
        <w:widowControl/>
        <w:jc w:val="center"/>
        <w:rPr>
          <w:rFonts w:ascii="仿宋_GB2312" w:hAnsi="宋体" w:eastAsia="仿宋_GB2312"/>
          <w:sz w:val="32"/>
          <w:szCs w:val="32"/>
        </w:rPr>
      </w:pPr>
      <w:r>
        <w:rPr>
          <w:rFonts w:ascii="微软雅黑" w:hAnsi="微软雅黑" w:eastAsia="微软雅黑"/>
          <w:color w:val="333333"/>
        </w:rPr>
        <w:drawing>
          <wp:inline distT="0" distB="0" distL="0" distR="0">
            <wp:extent cx="4187190" cy="2134235"/>
            <wp:effectExtent l="4445" t="4445" r="18415" b="13970"/>
            <wp:docPr id="15" name="对象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outlineLvl w:val="1"/>
        <w:rPr>
          <w:rFonts w:ascii="仿宋_GB2312" w:hAnsi="仿宋" w:eastAsia="仿宋_GB2312"/>
          <w:sz w:val="32"/>
          <w:szCs w:val="32"/>
        </w:rPr>
      </w:pPr>
      <w:bookmarkStart w:id="118" w:name="_Toc498470156"/>
      <w:bookmarkStart w:id="119" w:name="_Toc17182"/>
      <w:r>
        <w:rPr>
          <w:rFonts w:hint="eastAsia" w:ascii="仿宋_GB2312" w:hAnsi="仿宋" w:eastAsia="仿宋_GB2312"/>
          <w:sz w:val="32"/>
          <w:szCs w:val="32"/>
        </w:rPr>
        <w:t>（二）就业质量分析</w:t>
      </w:r>
      <w:bookmarkEnd w:id="118"/>
      <w:bookmarkEnd w:id="119"/>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为全面了解毕业生的就业情况，学校就业创业中心从2018年9月到2019年6月1日对2019年毕业的2019届毕业生的就业情况进行了问卷调查。回收有效问卷1500份。</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本次毕业生就业质量评价主要由两个方面组成：一是用人单位对毕业生的满意度；二是毕业生对就业的满意度。</w:t>
      </w:r>
    </w:p>
    <w:p>
      <w:pPr>
        <w:outlineLvl w:val="2"/>
        <w:rPr>
          <w:rFonts w:ascii="仿宋_GB2312" w:hAnsi="宋体" w:eastAsia="仿宋_GB2312"/>
          <w:sz w:val="32"/>
          <w:szCs w:val="32"/>
          <w:lang w:val="en-GB"/>
        </w:rPr>
      </w:pPr>
      <w:bookmarkStart w:id="120" w:name="_Toc28356"/>
      <w:r>
        <w:rPr>
          <w:rFonts w:hint="eastAsia" w:ascii="仿宋_GB2312" w:hAnsi="宋体" w:eastAsia="仿宋_GB2312"/>
          <w:sz w:val="32"/>
          <w:szCs w:val="32"/>
          <w:lang w:val="en-GB"/>
        </w:rPr>
        <w:t>1. 用人单位对毕业生的满意度</w:t>
      </w:r>
      <w:bookmarkEnd w:id="120"/>
    </w:p>
    <w:p>
      <w:pPr>
        <w:rPr>
          <w:rFonts w:ascii="仿宋_GB2312" w:eastAsia="仿宋_GB2312"/>
          <w:sz w:val="32"/>
          <w:szCs w:val="32"/>
        </w:rPr>
      </w:pPr>
      <w:r>
        <w:rPr>
          <w:rFonts w:hint="eastAsia" w:ascii="仿宋_GB2312" w:eastAsia="仿宋_GB2312"/>
          <w:sz w:val="32"/>
          <w:szCs w:val="32"/>
        </w:rPr>
        <w:t>（1）总体满意度</w:t>
      </w:r>
    </w:p>
    <w:p>
      <w:pPr>
        <w:ind w:firstLine="640" w:firstLineChars="200"/>
        <w:rPr>
          <w:rFonts w:ascii="仿宋_GB2312" w:eastAsia="仿宋_GB2312"/>
          <w:sz w:val="32"/>
          <w:szCs w:val="32"/>
        </w:rPr>
      </w:pPr>
      <w:r>
        <w:rPr>
          <w:rFonts w:hint="eastAsia" w:ascii="仿宋_GB2312" w:hAnsi="仿宋" w:eastAsia="仿宋_GB2312"/>
          <w:sz w:val="32"/>
          <w:szCs w:val="32"/>
        </w:rPr>
        <w:t>对于已落实工作的毕业生，用人单位表示满意和很满意的数量占比62.07%，远高于对已落实工作不满意的比例（2.74%），此外，35.19%的用人单位对已落实工作的毕业生满意程度一般。</w:t>
      </w:r>
    </w:p>
    <w:p>
      <w:pPr>
        <w:widowControl/>
        <w:ind w:firstLine="960" w:firstLineChars="300"/>
        <w:jc w:val="left"/>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60288" behindDoc="0" locked="0" layoutInCell="1" allowOverlap="1">
            <wp:simplePos x="0" y="0"/>
            <wp:positionH relativeFrom="column">
              <wp:posOffset>-115570</wp:posOffset>
            </wp:positionH>
            <wp:positionV relativeFrom="paragraph">
              <wp:posOffset>-8687435</wp:posOffset>
            </wp:positionV>
            <wp:extent cx="5274310" cy="2906395"/>
            <wp:effectExtent l="4445" t="4445" r="17145" b="10160"/>
            <wp:wrapTopAndBottom/>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pPr>
        <w:rPr>
          <w:rFonts w:ascii="仿宋_GB2312" w:eastAsia="仿宋_GB2312"/>
          <w:sz w:val="32"/>
          <w:szCs w:val="32"/>
        </w:rPr>
      </w:pPr>
      <w:r>
        <w:rPr>
          <w:rFonts w:hint="eastAsia" w:ascii="仿宋_GB2312" w:eastAsia="仿宋_GB2312"/>
          <w:sz w:val="32"/>
          <w:szCs w:val="32"/>
        </w:rPr>
        <w:t>（2）岗位薪资情况调查</w:t>
      </w:r>
    </w:p>
    <w:p>
      <w:pPr>
        <w:widowControl/>
        <w:ind w:firstLine="640" w:firstLineChars="200"/>
        <w:jc w:val="left"/>
        <w:rPr>
          <w:rFonts w:ascii="仿宋_GB2312" w:hAnsi="仿宋" w:eastAsia="仿宋_GB2312"/>
          <w:sz w:val="32"/>
          <w:szCs w:val="32"/>
        </w:rPr>
      </w:pPr>
      <w:r>
        <w:rPr>
          <w:rFonts w:hint="eastAsia" w:ascii="仿宋_GB2312" w:hAnsi="仿宋" w:eastAsia="仿宋_GB2312"/>
          <w:sz w:val="32"/>
          <w:szCs w:val="32"/>
        </w:rPr>
        <w:t>调查统计结果显示，2018年下半年至2019年上半年用人单位提供的岗位薪资水平（月薪）在2000-2999元的占9.33%，月薪在3000-3999元的占28.24%，月薪在4000-4999元的占36.53%，月薪在5000-5999元的占19.17%，月薪在6000元及以上的占6.74%。</w:t>
      </w:r>
    </w:p>
    <w:p>
      <w:pPr>
        <w:spacing w:line="360" w:lineRule="auto"/>
        <w:jc w:val="left"/>
        <w:rPr>
          <w:rFonts w:ascii="宋体" w:hAnsi="宋体"/>
          <w:color w:val="333333"/>
          <w:sz w:val="28"/>
          <w:szCs w:val="28"/>
        </w:rPr>
      </w:pPr>
      <w:r>
        <w:rPr>
          <w:rFonts w:ascii="宋体" w:hAnsi="宋体"/>
          <w:color w:val="333333"/>
          <w:sz w:val="28"/>
          <w:szCs w:val="28"/>
        </w:rPr>
        <w:drawing>
          <wp:inline distT="0" distB="0" distL="0" distR="0">
            <wp:extent cx="5274310" cy="2905760"/>
            <wp:effectExtent l="4445" t="4445" r="17145" b="107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rPr>
          <w:rFonts w:ascii="仿宋_GB2312" w:eastAsia="仿宋_GB2312"/>
          <w:sz w:val="32"/>
          <w:szCs w:val="32"/>
        </w:rPr>
      </w:pPr>
      <w:r>
        <w:rPr>
          <w:rFonts w:hint="eastAsia" w:ascii="仿宋_GB2312" w:eastAsia="仿宋_GB2312"/>
          <w:sz w:val="32"/>
          <w:szCs w:val="32"/>
        </w:rPr>
        <w:t>（3）对职业发展前景的看法</w:t>
      </w:r>
    </w:p>
    <w:p>
      <w:pPr>
        <w:ind w:firstLine="640" w:firstLineChars="200"/>
        <w:rPr>
          <w:rFonts w:ascii="仿宋_GB2312" w:hAnsi="仿宋" w:eastAsia="仿宋_GB2312"/>
          <w:sz w:val="32"/>
          <w:szCs w:val="32"/>
        </w:rPr>
      </w:pPr>
      <w:r>
        <w:rPr>
          <w:rFonts w:hint="eastAsia" w:ascii="仿宋_GB2312" w:hAnsi="仿宋" w:eastAsia="仿宋_GB2312"/>
          <w:sz w:val="32"/>
          <w:szCs w:val="32"/>
        </w:rPr>
        <w:t>对于职业发展前景，37.04%的毕业生对于未来职业发展表示清楚并持乐观态度，49.61%的毕业生对此表示清楚但态度一般，对于未来职业发展表示清楚的毕业生远高于对此表示悲观的毕业生（8.19%），另仍有5.16%的毕业生对职业发展表示不清楚。</w:t>
      </w:r>
    </w:p>
    <w:p>
      <w:pPr>
        <w:rPr>
          <w:rFonts w:ascii="宋体" w:hAnsi="宋体"/>
          <w:color w:val="333333"/>
          <w:sz w:val="28"/>
          <w:szCs w:val="28"/>
        </w:rPr>
      </w:pPr>
      <w:r>
        <w:rPr>
          <w:rFonts w:ascii="宋体" w:hAnsi="宋体"/>
          <w:color w:val="333333"/>
          <w:sz w:val="28"/>
          <w:szCs w:val="28"/>
        </w:rPr>
        <w:drawing>
          <wp:anchor distT="0" distB="0" distL="114300" distR="114300" simplePos="0" relativeHeight="251657216" behindDoc="1" locked="0" layoutInCell="1" allowOverlap="1">
            <wp:simplePos x="0" y="0"/>
            <wp:positionH relativeFrom="column">
              <wp:posOffset>-635</wp:posOffset>
            </wp:positionH>
            <wp:positionV relativeFrom="paragraph">
              <wp:posOffset>86995</wp:posOffset>
            </wp:positionV>
            <wp:extent cx="5274310" cy="2854960"/>
            <wp:effectExtent l="4445" t="4445" r="17145" b="10795"/>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pPr>
        <w:spacing w:line="360" w:lineRule="auto"/>
        <w:jc w:val="left"/>
        <w:rPr>
          <w:rFonts w:ascii="微软雅黑" w:hAnsi="微软雅黑" w:eastAsia="微软雅黑"/>
          <w:b/>
          <w:color w:val="333333"/>
          <w:sz w:val="30"/>
          <w:szCs w:val="30"/>
          <w:lang w:val="en-GB"/>
        </w:rPr>
      </w:pPr>
    </w:p>
    <w:p>
      <w:pPr>
        <w:spacing w:line="360" w:lineRule="auto"/>
        <w:jc w:val="left"/>
        <w:rPr>
          <w:rFonts w:ascii="微软雅黑" w:hAnsi="微软雅黑" w:eastAsia="微软雅黑"/>
          <w:b/>
          <w:color w:val="333333"/>
          <w:sz w:val="30"/>
          <w:szCs w:val="30"/>
          <w:lang w:val="en-GB"/>
        </w:rPr>
      </w:pPr>
    </w:p>
    <w:p>
      <w:pPr>
        <w:spacing w:line="360" w:lineRule="auto"/>
        <w:jc w:val="left"/>
        <w:rPr>
          <w:rFonts w:ascii="微软雅黑" w:hAnsi="微软雅黑" w:eastAsia="微软雅黑"/>
          <w:b/>
          <w:color w:val="333333"/>
          <w:sz w:val="30"/>
          <w:szCs w:val="30"/>
          <w:lang w:val="en-GB"/>
        </w:rPr>
      </w:pPr>
    </w:p>
    <w:p>
      <w:pPr>
        <w:spacing w:line="360" w:lineRule="auto"/>
        <w:jc w:val="left"/>
        <w:rPr>
          <w:rFonts w:ascii="微软雅黑" w:hAnsi="微软雅黑" w:eastAsia="微软雅黑"/>
          <w:b/>
          <w:color w:val="333333"/>
          <w:sz w:val="30"/>
          <w:szCs w:val="30"/>
          <w:lang w:val="en-GB"/>
        </w:rPr>
      </w:pPr>
    </w:p>
    <w:p>
      <w:pPr>
        <w:outlineLvl w:val="2"/>
        <w:rPr>
          <w:rFonts w:ascii="仿宋_GB2312" w:hAnsi="宋体" w:eastAsia="仿宋_GB2312"/>
          <w:sz w:val="32"/>
          <w:szCs w:val="32"/>
          <w:lang w:val="en-GB"/>
        </w:rPr>
      </w:pPr>
    </w:p>
    <w:p>
      <w:pPr>
        <w:outlineLvl w:val="2"/>
        <w:rPr>
          <w:rFonts w:ascii="仿宋_GB2312" w:hAnsi="宋体" w:eastAsia="仿宋_GB2312"/>
          <w:sz w:val="32"/>
          <w:szCs w:val="32"/>
          <w:lang w:val="en-GB"/>
        </w:rPr>
      </w:pPr>
    </w:p>
    <w:p>
      <w:pPr>
        <w:outlineLvl w:val="2"/>
        <w:rPr>
          <w:rFonts w:ascii="仿宋_GB2312" w:hAnsi="宋体" w:eastAsia="仿宋_GB2312"/>
          <w:sz w:val="32"/>
          <w:szCs w:val="32"/>
          <w:lang w:val="en-GB"/>
        </w:rPr>
      </w:pPr>
    </w:p>
    <w:p>
      <w:pPr>
        <w:outlineLvl w:val="2"/>
        <w:rPr>
          <w:rFonts w:ascii="仿宋_GB2312" w:hAnsi="宋体" w:eastAsia="仿宋_GB2312"/>
          <w:sz w:val="32"/>
          <w:szCs w:val="32"/>
          <w:lang w:val="en-GB"/>
        </w:rPr>
      </w:pPr>
      <w:bookmarkStart w:id="121" w:name="_Toc28770"/>
      <w:r>
        <w:rPr>
          <w:rFonts w:hint="eastAsia" w:ascii="仿宋_GB2312" w:hAnsi="宋体" w:eastAsia="仿宋_GB2312"/>
          <w:sz w:val="32"/>
          <w:szCs w:val="32"/>
          <w:lang w:val="en-GB"/>
        </w:rPr>
        <w:t>2. 毕业生对就业的满意度</w:t>
      </w:r>
      <w:bookmarkEnd w:id="121"/>
    </w:p>
    <w:p>
      <w:pPr>
        <w:rPr>
          <w:rFonts w:ascii="仿宋_GB2312" w:eastAsia="仿宋_GB2312"/>
          <w:sz w:val="32"/>
          <w:szCs w:val="32"/>
        </w:rPr>
      </w:pPr>
      <w:r>
        <w:rPr>
          <w:rFonts w:hint="eastAsia" w:ascii="仿宋_GB2312" w:eastAsia="仿宋_GB2312"/>
          <w:sz w:val="32"/>
          <w:szCs w:val="32"/>
        </w:rPr>
        <w:t>（1）总体满意度</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对于已落实工作的总体满意度，表示满意或很满意的学生占比61.76%，远高于对已落实工作不满意或很不满意的学生比例（3.73%），此外，34.51%的学生对已落实工作的满意程度一般。</w:t>
      </w:r>
    </w:p>
    <w:p>
      <w:pPr>
        <w:spacing w:line="360" w:lineRule="auto"/>
        <w:jc w:val="center"/>
        <w:rPr>
          <w:rFonts w:ascii="宋体" w:hAnsi="宋体"/>
          <w:color w:val="333333"/>
          <w:sz w:val="28"/>
          <w:szCs w:val="28"/>
        </w:rPr>
      </w:pPr>
      <w:r>
        <w:rPr>
          <w:rFonts w:ascii="宋体" w:hAnsi="宋体"/>
          <w:color w:val="333333"/>
          <w:sz w:val="28"/>
          <w:szCs w:val="28"/>
        </w:rPr>
        <w:drawing>
          <wp:inline distT="0" distB="0" distL="0" distR="0">
            <wp:extent cx="4943475" cy="2590800"/>
            <wp:effectExtent l="4445" t="4445" r="5080" b="825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5"/>
        <w:jc w:val="center"/>
        <w:rPr>
          <w:sz w:val="24"/>
          <w:szCs w:val="24"/>
        </w:rPr>
      </w:pPr>
    </w:p>
    <w:p>
      <w:pPr>
        <w:rPr>
          <w:rFonts w:ascii="仿宋_GB2312" w:eastAsia="仿宋_GB2312"/>
          <w:sz w:val="32"/>
          <w:szCs w:val="32"/>
        </w:rPr>
      </w:pPr>
      <w:r>
        <w:rPr>
          <w:rFonts w:hint="eastAsia" w:ascii="仿宋_GB2312" w:eastAsia="仿宋_GB2312"/>
          <w:sz w:val="32"/>
          <w:szCs w:val="32"/>
        </w:rPr>
        <w:t>（2）毕业生薪资预期</w:t>
      </w:r>
    </w:p>
    <w:p>
      <w:pPr>
        <w:spacing w:line="600" w:lineRule="exact"/>
        <w:ind w:firstLine="640" w:firstLineChars="200"/>
        <w:jc w:val="left"/>
        <w:rPr>
          <w:rFonts w:ascii="仿宋_GB2312" w:hAnsi="仿宋" w:eastAsia="仿宋_GB2312"/>
          <w:sz w:val="32"/>
          <w:szCs w:val="32"/>
        </w:rPr>
      </w:pPr>
      <w:r>
        <w:rPr>
          <w:rFonts w:hint="eastAsia" w:ascii="仿宋" w:hAnsi="仿宋" w:eastAsia="仿宋"/>
          <w:sz w:val="32"/>
          <w:szCs w:val="32"/>
        </w:rPr>
        <w:t>调查统计结果显示，2019届毕业生对第一份岗位的薪资预期（月薪）在2000-2999元的占2.50%，月薪在3000-3999元的占14.99%，月薪在4000-4999元的占32.58%，月薪</w:t>
      </w:r>
      <w:r>
        <w:rPr>
          <w:rFonts w:hint="eastAsia" w:ascii="仿宋_GB2312" w:hAnsi="仿宋" w:eastAsia="仿宋_GB2312"/>
          <w:sz w:val="32"/>
          <w:szCs w:val="32"/>
        </w:rPr>
        <w:t>在</w:t>
      </w:r>
      <w:r>
        <w:rPr>
          <w:rFonts w:hint="eastAsia" w:ascii="仿宋" w:hAnsi="仿宋" w:eastAsia="仿宋"/>
          <w:sz w:val="32"/>
          <w:szCs w:val="32"/>
        </w:rPr>
        <w:t>5000-5999元的占31.33%，月薪在6000元及以上的占18.62%。</w:t>
      </w:r>
      <w:r>
        <w:rPr>
          <w:rFonts w:ascii="宋体" w:hAnsi="宋体"/>
          <w:color w:val="333333"/>
          <w:sz w:val="28"/>
          <w:szCs w:val="28"/>
        </w:rPr>
        <w:drawing>
          <wp:anchor distT="0" distB="0" distL="114300" distR="114300" simplePos="0" relativeHeight="251658240" behindDoc="0" locked="0" layoutInCell="1" allowOverlap="1">
            <wp:simplePos x="0" y="0"/>
            <wp:positionH relativeFrom="column">
              <wp:posOffset>-635</wp:posOffset>
            </wp:positionH>
            <wp:positionV relativeFrom="paragraph">
              <wp:posOffset>40640</wp:posOffset>
            </wp:positionV>
            <wp:extent cx="5274310" cy="3076575"/>
            <wp:effectExtent l="0" t="0" r="21590" b="9525"/>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pPr>
        <w:rPr>
          <w:rFonts w:ascii="仿宋_GB2312" w:eastAsia="仿宋_GB2312"/>
          <w:sz w:val="32"/>
          <w:szCs w:val="32"/>
        </w:rPr>
      </w:pPr>
      <w:r>
        <w:rPr>
          <w:rFonts w:hint="eastAsia" w:ascii="仿宋_GB2312" w:eastAsia="仿宋_GB2312"/>
          <w:sz w:val="32"/>
          <w:szCs w:val="32"/>
        </w:rPr>
        <w:t>（3）毕业生在就业时考虑的因素</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调查结果显示，毕业生在就业时主要考虑的因素有薪酬和福利（23.02%）、个人发展机会（20.92%）、工作地点（18.22%）。</w:t>
      </w:r>
    </w:p>
    <w:p>
      <w:pPr>
        <w:rPr>
          <w:rFonts w:ascii="微软雅黑" w:hAnsi="微软雅黑" w:eastAsia="微软雅黑"/>
          <w:color w:val="333333"/>
          <w:lang w:val="en-GB"/>
        </w:rPr>
      </w:pPr>
      <w:r>
        <w:rPr>
          <w:rFonts w:ascii="微软雅黑" w:hAnsi="微软雅黑" w:eastAsia="微软雅黑"/>
          <w:color w:val="333333"/>
        </w:rPr>
        <w:drawing>
          <wp:inline distT="0" distB="0" distL="0" distR="0">
            <wp:extent cx="5274310" cy="3076575"/>
            <wp:effectExtent l="0" t="0" r="21590" b="952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rPr>
          <w:rFonts w:ascii="仿宋_GB2312" w:eastAsia="仿宋_GB2312"/>
          <w:sz w:val="32"/>
          <w:szCs w:val="32"/>
        </w:rPr>
      </w:pPr>
      <w:bookmarkStart w:id="122" w:name="OLE_LINK1"/>
      <w:bookmarkStart w:id="123" w:name="OLE_LINK2"/>
      <w:r>
        <w:rPr>
          <w:rFonts w:hint="eastAsia" w:ascii="仿宋_GB2312" w:eastAsia="仿宋_GB2312"/>
          <w:sz w:val="32"/>
          <w:szCs w:val="32"/>
        </w:rPr>
        <w:t>（4）毕业生就业面临专业不对口时的选择</w:t>
      </w:r>
    </w:p>
    <w:p>
      <w:pPr>
        <w:ind w:firstLine="482" w:firstLineChars="200"/>
        <w:rPr>
          <w:b/>
          <w:sz w:val="24"/>
          <w:szCs w:val="24"/>
        </w:rPr>
      </w:pPr>
    </w:p>
    <w:p>
      <w:pPr>
        <w:spacing w:line="600" w:lineRule="exact"/>
        <w:ind w:firstLine="640" w:firstLineChars="200"/>
        <w:jc w:val="left"/>
        <w:rPr>
          <w:rFonts w:ascii="宋体" w:hAnsi="宋体"/>
          <w:b/>
          <w:color w:val="333333"/>
          <w:sz w:val="28"/>
          <w:szCs w:val="28"/>
        </w:rPr>
      </w:pPr>
      <w:r>
        <w:rPr>
          <w:rFonts w:hint="eastAsia" w:ascii="仿宋" w:hAnsi="仿宋" w:eastAsia="仿宋"/>
          <w:sz w:val="32"/>
          <w:szCs w:val="32"/>
        </w:rPr>
        <w:drawing>
          <wp:anchor distT="0" distB="0" distL="114300" distR="114300" simplePos="0" relativeHeight="251658240" behindDoc="0" locked="0" layoutInCell="1" allowOverlap="1">
            <wp:simplePos x="0" y="0"/>
            <wp:positionH relativeFrom="column">
              <wp:posOffset>659765</wp:posOffset>
            </wp:positionH>
            <wp:positionV relativeFrom="paragraph">
              <wp:posOffset>-1270</wp:posOffset>
            </wp:positionV>
            <wp:extent cx="3959225" cy="2018030"/>
            <wp:effectExtent l="0" t="0" r="22225" b="20320"/>
            <wp:wrapTopAndBottom/>
            <wp:docPr id="19" name="对象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hint="eastAsia" w:ascii="仿宋" w:hAnsi="仿宋" w:eastAsia="仿宋"/>
          <w:sz w:val="32"/>
          <w:szCs w:val="32"/>
        </w:rPr>
        <w:t>在面临专业不对口时，41.06%的毕业生仍会继续工作，24.75%的毕业生会选择跳槽，应聘其他工作；另34.25%的毕业生表示不清楚自己的选择。</w:t>
      </w:r>
      <w:bookmarkEnd w:id="122"/>
      <w:bookmarkEnd w:id="123"/>
    </w:p>
    <w:p>
      <w:pPr>
        <w:outlineLvl w:val="0"/>
        <w:rPr>
          <w:rFonts w:ascii="黑体" w:hAnsi="黑体" w:eastAsia="黑体"/>
          <w:b/>
          <w:sz w:val="32"/>
          <w:szCs w:val="32"/>
        </w:rPr>
      </w:pPr>
    </w:p>
    <w:p>
      <w:pPr>
        <w:outlineLvl w:val="0"/>
        <w:rPr>
          <w:rFonts w:ascii="黑体" w:hAnsi="黑体" w:eastAsia="黑体"/>
          <w:b/>
          <w:sz w:val="32"/>
          <w:szCs w:val="32"/>
        </w:rPr>
      </w:pPr>
      <w:bookmarkStart w:id="124" w:name="_Toc12298"/>
      <w:r>
        <w:rPr>
          <w:rFonts w:hint="eastAsia" w:ascii="黑体" w:hAnsi="黑体" w:eastAsia="黑体"/>
          <w:b/>
          <w:sz w:val="32"/>
          <w:szCs w:val="32"/>
        </w:rPr>
        <w:t>四、促进毕业生就业创业工作</w:t>
      </w:r>
      <w:bookmarkEnd w:id="109"/>
      <w:r>
        <w:rPr>
          <w:rFonts w:hint="eastAsia" w:ascii="黑体" w:hAnsi="黑体" w:eastAsia="黑体"/>
          <w:b/>
          <w:sz w:val="32"/>
          <w:szCs w:val="32"/>
        </w:rPr>
        <w:t>的具体措施</w:t>
      </w:r>
      <w:bookmarkEnd w:id="110"/>
      <w:bookmarkEnd w:id="111"/>
      <w:bookmarkEnd w:id="112"/>
      <w:bookmarkEnd w:id="113"/>
      <w:bookmarkEnd w:id="114"/>
      <w:bookmarkEnd w:id="115"/>
      <w:bookmarkEnd w:id="124"/>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019</w:t>
      </w:r>
      <w:r>
        <w:rPr>
          <w:rFonts w:hint="eastAsia" w:ascii="仿宋" w:hAnsi="仿宋" w:eastAsia="仿宋"/>
          <w:sz w:val="32"/>
          <w:szCs w:val="32"/>
        </w:rPr>
        <w:t>年，我校深入贯彻落实党中央、国务院和教育部关于促进高校毕业生就业的决策部署，创新工作思路，改进工作方法，着力提升毕业生就业质量。</w:t>
      </w:r>
    </w:p>
    <w:p>
      <w:pPr>
        <w:outlineLvl w:val="1"/>
        <w:rPr>
          <w:rFonts w:ascii="仿宋_GB2312" w:hAnsi="仿宋" w:eastAsia="仿宋_GB2312"/>
          <w:sz w:val="32"/>
          <w:szCs w:val="32"/>
        </w:rPr>
      </w:pPr>
      <w:bookmarkStart w:id="125" w:name="_Toc27896"/>
      <w:r>
        <w:rPr>
          <w:rFonts w:hint="eastAsia" w:ascii="仿宋_GB2312" w:hAnsi="仿宋" w:eastAsia="仿宋_GB2312"/>
          <w:sz w:val="32"/>
          <w:szCs w:val="32"/>
        </w:rPr>
        <w:t>（一）落实一把手工程，抓全员就业</w:t>
      </w:r>
      <w:bookmarkEnd w:id="125"/>
    </w:p>
    <w:p>
      <w:pPr>
        <w:pStyle w:val="6"/>
        <w:spacing w:line="280" w:lineRule="atLeast"/>
        <w:rPr>
          <w:rFonts w:ascii="仿宋_GB2312"/>
          <w:szCs w:val="22"/>
        </w:rPr>
      </w:pPr>
      <w:r>
        <w:rPr>
          <w:rFonts w:hint="eastAsia" w:ascii="仿宋_GB2312"/>
          <w:szCs w:val="22"/>
        </w:rPr>
        <w:t>学校认真落实就业工作“一把手”工程，校领导经常深入学院开展就业专题调研，学校就业工作领导小组专题讨论毕业生就业工作。全校上下协力同心，全员参与就业工作，形成了“明确一个目标，依托两个优势，坚持三个结合，加强四项建设，推行五项举措，抓住六个重点”的就业工作思路，为就业工作的顺利推进打下坚实的基础。</w:t>
      </w:r>
    </w:p>
    <w:p>
      <w:pPr>
        <w:outlineLvl w:val="1"/>
        <w:rPr>
          <w:rFonts w:ascii="仿宋_GB2312" w:hAnsi="仿宋" w:eastAsia="仿宋_GB2312"/>
          <w:sz w:val="32"/>
          <w:szCs w:val="32"/>
        </w:rPr>
      </w:pPr>
      <w:bookmarkStart w:id="126" w:name="_Toc9773"/>
      <w:r>
        <w:rPr>
          <w:rFonts w:hint="eastAsia" w:ascii="仿宋_GB2312" w:hAnsi="仿宋" w:eastAsia="仿宋_GB2312"/>
          <w:sz w:val="32"/>
          <w:szCs w:val="32"/>
        </w:rPr>
        <w:t>（二）着力价值引领，抓基层项目</w:t>
      </w:r>
      <w:bookmarkEnd w:id="126"/>
    </w:p>
    <w:p>
      <w:pPr>
        <w:pStyle w:val="6"/>
        <w:spacing w:line="280" w:lineRule="atLeast"/>
        <w:rPr>
          <w:rFonts w:ascii="仿宋_GB2312"/>
          <w:szCs w:val="22"/>
        </w:rPr>
      </w:pPr>
      <w:r>
        <w:rPr>
          <w:rFonts w:hint="eastAsia" w:ascii="仿宋_GB2312"/>
          <w:szCs w:val="22"/>
        </w:rPr>
        <w:t>学校落实立德树人根本任务，将爱国主义和理想信念教育融入日常就业指导和生涯规划教育教学过程中，通过主题活动、榜样宣传等形式引导毕业生到基层、到西部、到部队、到祖国最需要的地方建功立业。2019届毕业生到基层就业的毕业生有3</w:t>
      </w:r>
      <w:r>
        <w:rPr>
          <w:rFonts w:ascii="仿宋_GB2312"/>
          <w:szCs w:val="22"/>
        </w:rPr>
        <w:t>3</w:t>
      </w:r>
      <w:r>
        <w:rPr>
          <w:rFonts w:hint="eastAsia" w:ascii="仿宋_GB2312"/>
          <w:szCs w:val="22"/>
        </w:rPr>
        <w:t>人，居河南省首位，应征义务兵1</w:t>
      </w:r>
      <w:r>
        <w:rPr>
          <w:rFonts w:ascii="仿宋_GB2312"/>
          <w:szCs w:val="22"/>
        </w:rPr>
        <w:t>0</w:t>
      </w:r>
      <w:r>
        <w:rPr>
          <w:rFonts w:hint="eastAsia" w:ascii="仿宋_GB2312"/>
          <w:szCs w:val="22"/>
        </w:rPr>
        <w:t>人，凸显了就业工作的价值引领和育人功能。</w:t>
      </w:r>
    </w:p>
    <w:p>
      <w:pPr>
        <w:outlineLvl w:val="1"/>
        <w:rPr>
          <w:rFonts w:ascii="仿宋_GB2312" w:hAnsi="仿宋" w:eastAsia="仿宋_GB2312"/>
          <w:sz w:val="32"/>
          <w:szCs w:val="32"/>
        </w:rPr>
      </w:pPr>
      <w:bookmarkStart w:id="127" w:name="_Toc16254"/>
      <w:r>
        <w:rPr>
          <w:rFonts w:hint="eastAsia" w:ascii="仿宋_GB2312" w:hAnsi="仿宋" w:eastAsia="仿宋_GB2312"/>
          <w:sz w:val="32"/>
          <w:szCs w:val="32"/>
        </w:rPr>
        <w:t>（三）利用“互联网+”，抓信息精准匹配</w:t>
      </w:r>
      <w:bookmarkEnd w:id="127"/>
    </w:p>
    <w:p>
      <w:pPr>
        <w:adjustRightInd w:val="0"/>
        <w:ind w:firstLine="640" w:firstLineChars="200"/>
        <w:rPr>
          <w:rFonts w:ascii="仿宋_GB2312" w:hAnsi="仿宋" w:eastAsia="仿宋_GB2312"/>
          <w:sz w:val="32"/>
          <w:szCs w:val="32"/>
        </w:rPr>
      </w:pPr>
      <w:r>
        <w:rPr>
          <w:rFonts w:hint="eastAsia" w:ascii="仿宋_GB2312" w:hAnsi="仿宋" w:eastAsia="仿宋_GB2312"/>
          <w:sz w:val="32"/>
          <w:szCs w:val="32"/>
        </w:rPr>
        <w:t>根据毕业生需求，充分利用“互联网+”技术，将他们的求职意愿与用人单位岗位相对接，实现智能化供需匹配，广泛利用就业网、微信、手机APP等渠道及时向毕业生精准推送就业岗位。在已有渠道收集用人单位岗位信息和毕业生求职信息基础上，收集和分析，掌握毕业生求职动向，加强对就业困难毕业生的帮助和指导，积极向用人单位推介毕业生。</w:t>
      </w:r>
    </w:p>
    <w:p>
      <w:pPr>
        <w:ind w:firstLine="566" w:firstLineChars="177"/>
        <w:rPr>
          <w:rFonts w:ascii="仿宋_GB2312" w:hAnsi="仿宋" w:eastAsia="仿宋_GB2312"/>
          <w:sz w:val="32"/>
          <w:szCs w:val="32"/>
        </w:rPr>
      </w:pPr>
      <w:r>
        <w:rPr>
          <w:rFonts w:hint="eastAsia" w:ascii="仿宋_GB2312" w:hAnsi="仿宋" w:eastAsia="仿宋_GB2312"/>
          <w:sz w:val="32"/>
          <w:szCs w:val="32"/>
        </w:rPr>
        <w:t>充分利用“互联网+就业”新模式，大型综合双选与小型专场双选、采取现场双选与网络视频双选相结合等形式，完善毕业生就业信息服务体系，保障毕业生就业信息畅通获取主渠道，为毕业生就业提供快捷、高效的优质信息服务。通过开展“百校千企”系列网络视频双选活动，组织毕业生上线参与双选活动，降低毕业生求职成本，提高求职成功率。</w:t>
      </w:r>
    </w:p>
    <w:p>
      <w:pPr>
        <w:outlineLvl w:val="1"/>
        <w:rPr>
          <w:rFonts w:ascii="仿宋_GB2312" w:hAnsi="仿宋" w:eastAsia="仿宋_GB2312"/>
          <w:sz w:val="32"/>
          <w:szCs w:val="32"/>
        </w:rPr>
      </w:pPr>
      <w:bookmarkStart w:id="128" w:name="_Toc9711"/>
      <w:r>
        <w:rPr>
          <w:rFonts w:hint="eastAsia" w:ascii="仿宋_GB2312" w:hAnsi="仿宋" w:eastAsia="仿宋_GB2312"/>
          <w:sz w:val="32"/>
          <w:szCs w:val="32"/>
        </w:rPr>
        <w:t>（四）聚焦工作创新，抓精准服务</w:t>
      </w:r>
      <w:bookmarkEnd w:id="128"/>
    </w:p>
    <w:p>
      <w:pPr>
        <w:pStyle w:val="6"/>
        <w:spacing w:line="280" w:lineRule="atLeast"/>
        <w:rPr>
          <w:rFonts w:ascii="仿宋_GB2312"/>
          <w:szCs w:val="22"/>
        </w:rPr>
      </w:pPr>
      <w:r>
        <w:rPr>
          <w:rFonts w:hint="eastAsia" w:ascii="仿宋_GB2312"/>
          <w:szCs w:val="22"/>
        </w:rPr>
        <w:t xml:space="preserve"> 学校不断创新就业服务工作方法，采取一系列措施完善精准服务机制：一是构建由学校就业信息网、就业QQ群、微信公众号、毕业生就业服务社团等组成的“互联网+就业”信息服务平台，实现就业信息精准推送、就业指导个性化服务、就业数据互联共享。二是建立就业台账，精准收集并统计毕业生生源信息、就业信息及就业进展情况。三是就业帮扶形式多样化，对考研毕业生考前心理进行团体辅导，广泛动员毕业生参加省教育厅组织的残疾毕业生招聘会和贫困生招聘会，重点关注就业困难学生，定向推送就业信息。2019年，落实省文件精神，为我校1355名毕业生申请河南省求职补贴2710000元。</w:t>
      </w:r>
    </w:p>
    <w:p>
      <w:pPr>
        <w:outlineLvl w:val="1"/>
        <w:rPr>
          <w:rFonts w:ascii="仿宋_GB2312" w:hAnsi="仿宋" w:eastAsia="仿宋_GB2312"/>
          <w:sz w:val="32"/>
          <w:szCs w:val="32"/>
        </w:rPr>
      </w:pPr>
      <w:bookmarkStart w:id="129" w:name="_Toc6112"/>
      <w:r>
        <w:rPr>
          <w:rFonts w:hint="eastAsia" w:ascii="仿宋_GB2312" w:hAnsi="仿宋" w:eastAsia="仿宋_GB2312"/>
          <w:sz w:val="32"/>
          <w:szCs w:val="32"/>
        </w:rPr>
        <w:t>（五）深化教育改革，抓创新创业培育</w:t>
      </w:r>
      <w:bookmarkEnd w:id="129"/>
    </w:p>
    <w:p>
      <w:pPr>
        <w:pStyle w:val="6"/>
        <w:spacing w:line="280" w:lineRule="atLeast"/>
        <w:rPr>
          <w:rFonts w:ascii="仿宋_GB2312"/>
          <w:szCs w:val="22"/>
        </w:rPr>
      </w:pPr>
      <w:r>
        <w:rPr>
          <w:rFonts w:hint="eastAsia" w:ascii="仿宋_GB2312"/>
          <w:szCs w:val="22"/>
        </w:rPr>
        <w:t>学校把深化创新创业教育改革作为推进高等教育综合改革的突破口，持续改进创新创业教育工作。根据学校人才培养目标和创新创业教育目标，及时修订教学大纲，合理调整必修、选修课程上课学期和学时分配。对自主创新创业学生进行持续帮扶、全程指导、一站式服务。加大对教师创新创业教育教学、指导学生创新创业能力的培训。配齐、配强创新创业教育教学专兼职指导教师队伍，聘请知名人士、创业成功者、企业家等各行各业优秀人才担任大学生创业项目指导教师。2019年，获第五届“互联网+”中国大学生创新创业大赛国赛铜奖三项，获河南赛区一等奖三项，二等奖两项，三等奖两项，获优秀组织奖；在第十四届“挑战杯”河南省决赛中，我校喜获“优胜杯”，获</w:t>
      </w:r>
      <w:r>
        <w:fldChar w:fldCharType="begin"/>
      </w:r>
      <w:r>
        <w:instrText xml:space="preserve"> HYPERLINK "https://www.haut.edu.cn/info/1063/30663.htm" \t "https://www.haut.edu.cn/yygn/_blank" </w:instrText>
      </w:r>
      <w:r>
        <w:fldChar w:fldCharType="separate"/>
      </w:r>
      <w:r>
        <w:rPr>
          <w:rFonts w:hint="eastAsia" w:ascii="仿宋_GB2312"/>
          <w:szCs w:val="22"/>
        </w:rPr>
        <w:t>第二届河南省大学生创新创业优秀项目选拔</w:t>
      </w:r>
      <w:r>
        <w:rPr>
          <w:rFonts w:hint="eastAsia" w:ascii="仿宋_GB2312"/>
          <w:szCs w:val="22"/>
        </w:rPr>
        <w:fldChar w:fldCharType="end"/>
      </w:r>
      <w:r>
        <w:rPr>
          <w:rFonts w:hint="eastAsia" w:ascii="仿宋_GB2312"/>
          <w:szCs w:val="22"/>
        </w:rPr>
        <w:t>赛一等奖2项、三等奖1项。</w:t>
      </w:r>
    </w:p>
    <w:p>
      <w:pPr>
        <w:ind w:firstLine="640" w:firstLineChars="200"/>
        <w:rPr>
          <w:rFonts w:ascii="仿宋" w:hAnsi="仿宋" w:eastAsia="仿宋"/>
          <w:sz w:val="32"/>
          <w:szCs w:val="32"/>
        </w:rPr>
      </w:pPr>
    </w:p>
    <w:p>
      <w:pPr>
        <w:ind w:firstLine="640" w:firstLineChars="200"/>
        <w:jc w:val="center"/>
        <w:outlineLvl w:val="0"/>
        <w:rPr>
          <w:b/>
          <w:sz w:val="28"/>
          <w:szCs w:val="28"/>
        </w:rPr>
      </w:pPr>
      <w:r>
        <w:rPr>
          <w:rFonts w:hint="eastAsia" w:ascii="仿宋" w:hAnsi="仿宋" w:eastAsia="仿宋"/>
          <w:sz w:val="32"/>
          <w:szCs w:val="32"/>
        </w:rPr>
        <w:br w:type="page"/>
      </w:r>
      <w:bookmarkStart w:id="130" w:name="_Toc19721"/>
      <w:bookmarkStart w:id="131" w:name="_Toc3988"/>
      <w:bookmarkStart w:id="132" w:name="_Toc10793"/>
      <w:bookmarkStart w:id="133" w:name="_Toc1285"/>
      <w:bookmarkStart w:id="134" w:name="_Toc11344"/>
      <w:bookmarkStart w:id="135" w:name="_Toc23797"/>
      <w:bookmarkStart w:id="136" w:name="_Toc8240"/>
      <w:bookmarkStart w:id="137" w:name="_Toc3749"/>
      <w:r>
        <w:rPr>
          <w:rFonts w:hint="eastAsia" w:ascii="仿宋_GB2312" w:eastAsia="仿宋_GB2312"/>
          <w:bCs/>
          <w:sz w:val="32"/>
          <w:szCs w:val="32"/>
        </w:rPr>
        <w:t>附件1：</w:t>
      </w:r>
      <w:r>
        <w:rPr>
          <w:rFonts w:hint="eastAsia"/>
          <w:b/>
          <w:sz w:val="28"/>
          <w:szCs w:val="28"/>
        </w:rPr>
        <w:t>2019届毕业生分学历各学院就业情况统计表</w:t>
      </w:r>
      <w:bookmarkEnd w:id="130"/>
      <w:bookmarkEnd w:id="131"/>
      <w:bookmarkEnd w:id="132"/>
      <w:bookmarkEnd w:id="133"/>
      <w:bookmarkEnd w:id="134"/>
      <w:bookmarkEnd w:id="135"/>
      <w:bookmarkEnd w:id="136"/>
      <w:bookmarkEnd w:id="137"/>
    </w:p>
    <w:tbl>
      <w:tblPr>
        <w:tblStyle w:val="19"/>
        <w:tblpPr w:leftFromText="180" w:rightFromText="180" w:vertAnchor="text" w:horzAnchor="page" w:tblpX="1094" w:tblpY="362"/>
        <w:tblOverlap w:val="never"/>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3"/>
        <w:gridCol w:w="1892"/>
        <w:gridCol w:w="1123"/>
        <w:gridCol w:w="1122"/>
        <w:gridCol w:w="1123"/>
        <w:gridCol w:w="1122"/>
        <w:gridCol w:w="1122"/>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5" w:hRule="atLeast"/>
        </w:trPr>
        <w:tc>
          <w:tcPr>
            <w:tcW w:w="1133"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学历</w:t>
            </w:r>
            <w:r>
              <w:rPr>
                <w:rFonts w:ascii="宋体" w:hAnsi="宋体" w:cs="宋体"/>
                <w:color w:val="FFFFFF"/>
                <w:kern w:val="0"/>
                <w:sz w:val="18"/>
                <w:szCs w:val="18"/>
                <w:lang w:bidi="ar"/>
              </w:rPr>
              <w:t>▲</w:t>
            </w:r>
          </w:p>
        </w:tc>
        <w:tc>
          <w:tcPr>
            <w:tcW w:w="1892"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院系</w:t>
            </w:r>
          </w:p>
        </w:tc>
        <w:tc>
          <w:tcPr>
            <w:tcW w:w="1123"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毕业人数</w:t>
            </w:r>
          </w:p>
        </w:tc>
        <w:tc>
          <w:tcPr>
            <w:tcW w:w="1122"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就业人数</w:t>
            </w:r>
          </w:p>
        </w:tc>
        <w:tc>
          <w:tcPr>
            <w:tcW w:w="1123"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就业率</w:t>
            </w:r>
          </w:p>
        </w:tc>
        <w:tc>
          <w:tcPr>
            <w:tcW w:w="1122"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升学人数</w:t>
            </w:r>
          </w:p>
        </w:tc>
        <w:tc>
          <w:tcPr>
            <w:tcW w:w="1122"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升学率</w:t>
            </w:r>
          </w:p>
        </w:tc>
        <w:tc>
          <w:tcPr>
            <w:tcW w:w="1123" w:type="dxa"/>
            <w:vMerge w:val="restart"/>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color w:val="FFFFFF"/>
                <w:sz w:val="18"/>
                <w:szCs w:val="18"/>
              </w:rPr>
            </w:pPr>
            <w:r>
              <w:rPr>
                <w:rFonts w:ascii="宋体" w:hAnsi="宋体" w:cs="宋体"/>
                <w:b/>
                <w:color w:val="FFFFFF"/>
                <w:kern w:val="0"/>
                <w:sz w:val="18"/>
                <w:szCs w:val="18"/>
                <w:lang w:bidi="ar"/>
              </w:rPr>
              <w:t>总就业率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1133"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892"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3"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2"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3"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2"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2"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3" w:type="dxa"/>
            <w:vMerge w:val="continue"/>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4" w:hRule="atLeast"/>
        </w:trPr>
        <w:tc>
          <w:tcPr>
            <w:tcW w:w="1133" w:type="dxa"/>
            <w:tcBorders>
              <w:top w:val="single" w:color="FFFFFF" w:sz="1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r>
              <w:rPr>
                <w:rFonts w:ascii="宋体" w:hAnsi="宋体" w:cs="宋体"/>
                <w:b/>
                <w:color w:val="000000"/>
                <w:sz w:val="18"/>
                <w:szCs w:val="18"/>
              </w:rPr>
              <w:t>博士生毕业</w:t>
            </w:r>
          </w:p>
        </w:tc>
        <w:tc>
          <w:tcPr>
            <w:tcW w:w="189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粮油食品学院</w:t>
            </w:r>
          </w:p>
        </w:tc>
        <w:tc>
          <w:tcPr>
            <w:tcW w:w="112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1</w:t>
            </w:r>
          </w:p>
        </w:tc>
        <w:tc>
          <w:tcPr>
            <w:tcW w:w="112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1</w:t>
            </w:r>
          </w:p>
        </w:tc>
        <w:tc>
          <w:tcPr>
            <w:tcW w:w="112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100.00%</w:t>
            </w:r>
          </w:p>
        </w:tc>
        <w:tc>
          <w:tcPr>
            <w:tcW w:w="112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0</w:t>
            </w:r>
          </w:p>
        </w:tc>
        <w:tc>
          <w:tcPr>
            <w:tcW w:w="112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0</w:t>
            </w:r>
          </w:p>
        </w:tc>
        <w:tc>
          <w:tcPr>
            <w:tcW w:w="1123" w:type="dxa"/>
            <w:tcBorders>
              <w:top w:val="single" w:color="FFFFFF" w:sz="1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lang w:val="en-US" w:eastAsia="zh-CN"/>
              </w:rPr>
              <w:t>100</w:t>
            </w:r>
            <w:r>
              <w:rPr>
                <w:rFonts w:hint="eastAsia" w:ascii="宋体" w:hAnsi="宋体" w:cs="宋体"/>
                <w:b/>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restart"/>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widowControl/>
              <w:jc w:val="center"/>
              <w:textAlignment w:val="center"/>
              <w:rPr>
                <w:rFonts w:ascii="宋体" w:hAnsi="宋体" w:cs="宋体"/>
                <w:b/>
                <w:color w:val="000000"/>
                <w:sz w:val="18"/>
                <w:szCs w:val="18"/>
              </w:rPr>
            </w:pPr>
            <w:r>
              <w:rPr>
                <w:rFonts w:ascii="宋体" w:hAnsi="宋体" w:cs="宋体"/>
                <w:b/>
                <w:color w:val="000000"/>
                <w:kern w:val="0"/>
                <w:sz w:val="18"/>
                <w:szCs w:val="18"/>
                <w:lang w:bidi="ar"/>
              </w:rPr>
              <w:t>硕士生毕业</w:t>
            </w: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ascii="宋体" w:hAnsi="宋体" w:cs="宋体"/>
                <w:b/>
                <w:color w:val="000000"/>
                <w:kern w:val="0"/>
                <w:sz w:val="18"/>
                <w:szCs w:val="18"/>
                <w:lang w:bidi="ar"/>
              </w:rPr>
              <w:t>小计</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430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350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81.40</w:t>
            </w:r>
            <w:r>
              <w:rPr>
                <w:rFonts w:ascii="宋体" w:hAnsi="宋体" w:cs="宋体"/>
                <w:b/>
                <w:color w:val="000000"/>
                <w:kern w:val="0"/>
                <w:sz w:val="18"/>
                <w:szCs w:val="18"/>
                <w:lang w:bidi="ar"/>
              </w:rPr>
              <w:t>%</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29</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6.74</w:t>
            </w:r>
            <w:r>
              <w:rPr>
                <w:rFonts w:ascii="宋体" w:hAnsi="宋体" w:cs="宋体"/>
                <w:b/>
                <w:color w:val="000000"/>
                <w:kern w:val="0"/>
                <w:sz w:val="18"/>
                <w:szCs w:val="18"/>
                <w:lang w:bidi="ar"/>
              </w:rPr>
              <w:t>%</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88.14</w:t>
            </w:r>
            <w:r>
              <w:rPr>
                <w:rFonts w:ascii="宋体" w:hAnsi="宋体" w:cs="宋体"/>
                <w:b/>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粮油食品学院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4"/>
                <w:szCs w:val="24"/>
              </w:rPr>
            </w:pPr>
            <w:r>
              <w:rPr>
                <w:rFonts w:ascii="宋体" w:hAnsi="宋体" w:eastAsia="宋体" w:cs="宋体"/>
                <w:i w:val="0"/>
                <w:color w:val="000000"/>
                <w:kern w:val="0"/>
                <w:sz w:val="18"/>
                <w:szCs w:val="18"/>
                <w:u w:val="none"/>
                <w:lang w:val="en-US" w:eastAsia="zh-CN" w:bidi="ar"/>
              </w:rPr>
              <w:t>105</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94</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89.52%</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8.57%</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28</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90.32%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9.68%</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31</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77.50%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12.50%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22</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73.33%</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6.67%</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化学化工与环境学院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29</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26</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89.66%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3.45%</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生物工程学院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21</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61.76%</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rPr>
                <w:rFonts w:ascii="宋体" w:hAnsi="宋体" w:cs="宋体"/>
                <w:color w:val="000000"/>
                <w:kern w:val="0"/>
                <w:sz w:val="18"/>
                <w:szCs w:val="18"/>
                <w:lang w:bidi="ar"/>
              </w:rPr>
            </w:pP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材料科学与工程学院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color w:val="000000"/>
                <w:kern w:val="0"/>
                <w:sz w:val="18"/>
                <w:szCs w:val="18"/>
                <w:lang w:bidi="ar"/>
              </w:rPr>
            </w:pP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电气工程学院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13</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12</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92.31%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rPr>
                <w:rFonts w:ascii="宋体" w:hAnsi="宋体" w:cs="宋体"/>
                <w:color w:val="000000"/>
                <w:kern w:val="0"/>
                <w:sz w:val="18"/>
                <w:szCs w:val="18"/>
                <w:lang w:bidi="ar"/>
              </w:rPr>
            </w:pP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61</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46</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75.41%</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3.28%</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经济贸易学院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38</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32</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84.21%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10.53%</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理学院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color w:val="000000"/>
                <w:kern w:val="0"/>
                <w:sz w:val="18"/>
                <w:szCs w:val="18"/>
                <w:lang w:bidi="ar"/>
              </w:rPr>
            </w:pP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外语学院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85.71%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14.29%</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法学院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80.00%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20.00%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新闻与传播学院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81.82%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jc w:val="center"/>
              <w:rPr>
                <w:rFonts w:ascii="宋体" w:hAnsi="宋体" w:cs="宋体"/>
                <w:color w:val="000000"/>
                <w:kern w:val="0"/>
                <w:sz w:val="18"/>
                <w:szCs w:val="18"/>
                <w:lang w:bidi="ar"/>
              </w:rPr>
            </w:pP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color w:val="000000"/>
                <w:kern w:val="0"/>
                <w:sz w:val="18"/>
                <w:szCs w:val="18"/>
                <w:lang w:bidi="ar"/>
              </w:rPr>
            </w:pP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color w:val="000000"/>
                <w:kern w:val="0"/>
                <w:sz w:val="18"/>
                <w:szCs w:val="18"/>
                <w:lang w:bidi="ar"/>
              </w:rPr>
            </w:pP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马克思主义学院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60.00%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10.00%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restart"/>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widowControl/>
              <w:jc w:val="center"/>
              <w:textAlignment w:val="center"/>
              <w:rPr>
                <w:rFonts w:ascii="宋体" w:hAnsi="宋体" w:cs="宋体"/>
                <w:b/>
                <w:color w:val="000000"/>
                <w:sz w:val="18"/>
                <w:szCs w:val="18"/>
              </w:rPr>
            </w:pPr>
            <w:r>
              <w:rPr>
                <w:rFonts w:ascii="宋体" w:hAnsi="宋体" w:cs="宋体"/>
                <w:b/>
                <w:color w:val="000000"/>
                <w:kern w:val="0"/>
                <w:sz w:val="18"/>
                <w:szCs w:val="18"/>
                <w:lang w:bidi="ar"/>
              </w:rPr>
              <w:t>本科生毕业</w:t>
            </w: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宋体" w:hAnsi="宋体" w:cs="宋体"/>
                <w:b/>
                <w:color w:val="000000"/>
                <w:sz w:val="18"/>
                <w:szCs w:val="18"/>
              </w:rPr>
            </w:pPr>
            <w:r>
              <w:rPr>
                <w:rFonts w:ascii="宋体" w:hAnsi="宋体" w:cs="宋体"/>
                <w:b/>
                <w:color w:val="000000"/>
                <w:kern w:val="0"/>
                <w:sz w:val="18"/>
                <w:szCs w:val="18"/>
                <w:lang w:bidi="ar"/>
              </w:rPr>
              <w:t>小计</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6905</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4620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66.91%</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hint="eastAsia" w:ascii="宋体" w:hAnsi="宋体" w:eastAsia="宋体" w:cs="宋体"/>
                <w:b/>
                <w:bCs/>
                <w:color w:val="000000"/>
                <w:kern w:val="0"/>
                <w:sz w:val="18"/>
                <w:szCs w:val="18"/>
                <w:lang w:eastAsia="zh-CN" w:bidi="ar"/>
              </w:rPr>
            </w:pPr>
            <w:r>
              <w:rPr>
                <w:rFonts w:ascii="宋体" w:hAnsi="宋体" w:eastAsia="宋体" w:cs="宋体"/>
                <w:b/>
                <w:bCs/>
                <w:i w:val="0"/>
                <w:color w:val="000000"/>
                <w:kern w:val="0"/>
                <w:sz w:val="18"/>
                <w:szCs w:val="18"/>
                <w:u w:val="none"/>
                <w:lang w:val="en-US" w:eastAsia="zh-CN" w:bidi="ar"/>
              </w:rPr>
              <w:t>1523</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22.06%</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粮油食品学院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470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291</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61.91%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168</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35.74%</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613</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468</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76.35%</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127</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20.72%</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595</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441</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74.12%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114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19.16%</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756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549</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72.62%</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156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20.63%</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化学化工与环境学院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393</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210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53.44%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141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35.88%</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生物工程学院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336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195</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58.04%</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25.60%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材料科学与工程学院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322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185</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57.45%</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118</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36.65%</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电气工程学院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548</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374</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68.25%</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102</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18.61%</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482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366</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75.93%</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67</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13.90%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经济贸易学院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468</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327</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69.87%</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97</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20.73%</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90.60%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理学院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179</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131</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73.18%</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16.76%</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外语学院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174</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102</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58.62%</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20.69%</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法学院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118</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74</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62.71%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20.34%</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新闻与传播学院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386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259</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67.10%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47</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12.18%</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271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215</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79.34%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8.86%</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宋体" w:hAnsi="宋体" w:cs="宋体"/>
                <w:b/>
                <w:color w:val="000000"/>
                <w:sz w:val="18"/>
                <w:szCs w:val="18"/>
              </w:rPr>
            </w:pPr>
            <w:r>
              <w:rPr>
                <w:rFonts w:ascii="宋体" w:hAnsi="宋体" w:eastAsia="宋体" w:cs="宋体"/>
                <w:i w:val="0"/>
                <w:color w:val="000000"/>
                <w:kern w:val="0"/>
                <w:sz w:val="18"/>
                <w:szCs w:val="18"/>
                <w:u w:val="none"/>
                <w:lang w:val="en-US" w:eastAsia="zh-CN" w:bidi="ar"/>
              </w:rPr>
              <w:t>国际教育学院</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707</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364</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51.49%</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184</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26.03%</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应用技术职业学院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87</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69</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79.31%</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2.30%</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ascii="宋体" w:hAnsi="宋体" w:eastAsia="宋体" w:cs="宋体"/>
                <w:i w:val="0"/>
                <w:color w:val="000000"/>
                <w:kern w:val="0"/>
                <w:sz w:val="18"/>
                <w:szCs w:val="18"/>
                <w:u w:val="none"/>
                <w:lang w:val="en-US" w:eastAsia="zh-CN" w:bidi="ar"/>
              </w:rPr>
              <w:t>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restart"/>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widowControl/>
              <w:jc w:val="center"/>
              <w:textAlignment w:val="center"/>
              <w:rPr>
                <w:rFonts w:ascii="宋体" w:hAnsi="宋体" w:cs="宋体"/>
                <w:b/>
                <w:color w:val="000000"/>
                <w:sz w:val="18"/>
                <w:szCs w:val="18"/>
              </w:rPr>
            </w:pPr>
            <w:r>
              <w:rPr>
                <w:rFonts w:ascii="宋体" w:hAnsi="宋体" w:cs="宋体"/>
                <w:b/>
                <w:color w:val="000000"/>
                <w:kern w:val="0"/>
                <w:sz w:val="18"/>
                <w:szCs w:val="18"/>
                <w:lang w:bidi="ar"/>
              </w:rPr>
              <w:t>专科生毕业</w:t>
            </w: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textAlignment w:val="center"/>
              <w:rPr>
                <w:rFonts w:ascii="宋体" w:hAnsi="宋体" w:cs="宋体"/>
                <w:b/>
                <w:color w:val="000000"/>
                <w:sz w:val="18"/>
                <w:szCs w:val="18"/>
              </w:rPr>
            </w:pPr>
            <w:r>
              <w:rPr>
                <w:rFonts w:ascii="宋体" w:hAnsi="宋体" w:cs="宋体"/>
                <w:b/>
                <w:color w:val="000000"/>
                <w:kern w:val="0"/>
                <w:sz w:val="18"/>
                <w:szCs w:val="18"/>
                <w:lang w:bidi="ar"/>
              </w:rPr>
              <w:t>小计</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1500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654</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43.60%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478</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31.87%</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bCs/>
                <w:color w:val="000000"/>
                <w:kern w:val="0"/>
                <w:sz w:val="18"/>
                <w:szCs w:val="18"/>
                <w:lang w:bidi="ar"/>
              </w:rPr>
            </w:pPr>
            <w:r>
              <w:rPr>
                <w:rFonts w:ascii="宋体" w:hAnsi="宋体" w:eastAsia="宋体" w:cs="宋体"/>
                <w:b/>
                <w:bCs/>
                <w:i w:val="0"/>
                <w:color w:val="000000"/>
                <w:kern w:val="0"/>
                <w:sz w:val="18"/>
                <w:szCs w:val="18"/>
                <w:u w:val="none"/>
                <w:lang w:val="en-US" w:eastAsia="zh-CN" w:bidi="ar"/>
              </w:rPr>
              <w:t>75.47%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中英国际学院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1185</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485</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40.93%</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402</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33.92%</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河南辅读中等职业学校</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110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62</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56.36%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22</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20.00%</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76.36%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7" w:hRule="atLeast"/>
        </w:trPr>
        <w:tc>
          <w:tcPr>
            <w:tcW w:w="1133" w:type="dxa"/>
            <w:vMerge w:val="continue"/>
            <w:tcBorders>
              <w:top w:val="single" w:color="4BACC6" w:sz="8" w:space="0"/>
              <w:left w:val="single" w:color="4BACC6" w:sz="8" w:space="0"/>
              <w:bottom w:val="single" w:color="4BACC6" w:sz="8" w:space="0"/>
              <w:right w:val="single" w:color="4BACC6" w:sz="8" w:space="0"/>
            </w:tcBorders>
            <w:shd w:val="clear" w:color="auto" w:fill="FFFFFF" w:themeFill="background1"/>
            <w:vAlign w:val="center"/>
          </w:tcPr>
          <w:p>
            <w:pPr>
              <w:jc w:val="center"/>
              <w:rPr>
                <w:rFonts w:ascii="宋体" w:hAnsi="宋体" w:cs="宋体"/>
                <w:b/>
                <w:color w:val="000000"/>
                <w:sz w:val="18"/>
                <w:szCs w:val="18"/>
              </w:rPr>
            </w:pPr>
          </w:p>
        </w:tc>
        <w:tc>
          <w:tcPr>
            <w:tcW w:w="1892" w:type="dxa"/>
            <w:tcBorders>
              <w:top w:val="single" w:color="4BACC6" w:sz="8" w:space="0"/>
              <w:left w:val="single" w:color="4BACC6" w:sz="8" w:space="0"/>
              <w:bottom w:val="single" w:color="4BACC6" w:sz="8" w:space="0"/>
              <w:right w:val="single" w:color="4BACC6" w:sz="8" w:space="0"/>
            </w:tcBorders>
            <w:shd w:val="clear" w:color="auto" w:fill="FFFFFF"/>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lang w:bidi="ar"/>
              </w:rPr>
              <w:t>职业技术学院</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205</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107</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52.20%</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54</w:t>
            </w:r>
          </w:p>
        </w:tc>
        <w:tc>
          <w:tcPr>
            <w:tcW w:w="112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26.34%</w:t>
            </w:r>
          </w:p>
        </w:tc>
        <w:tc>
          <w:tcPr>
            <w:tcW w:w="1123"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宋体" w:hAnsi="宋体" w:cs="宋体"/>
                <w:b w:val="0"/>
                <w:bCs w:val="0"/>
                <w:color w:val="000000"/>
                <w:kern w:val="0"/>
                <w:sz w:val="18"/>
                <w:szCs w:val="18"/>
                <w:lang w:bidi="ar"/>
              </w:rPr>
            </w:pPr>
            <w:r>
              <w:rPr>
                <w:rFonts w:ascii="宋体" w:hAnsi="宋体" w:eastAsia="宋体" w:cs="宋体"/>
                <w:b w:val="0"/>
                <w:bCs w:val="0"/>
                <w:i w:val="0"/>
                <w:color w:val="000000"/>
                <w:kern w:val="0"/>
                <w:sz w:val="18"/>
                <w:szCs w:val="18"/>
                <w:u w:val="none"/>
                <w:lang w:val="en-US" w:eastAsia="zh-CN" w:bidi="ar"/>
              </w:rPr>
              <w:t>78.54%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3" w:hRule="atLeast"/>
        </w:trPr>
        <w:tc>
          <w:tcPr>
            <w:tcW w:w="1133"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ascii="宋体" w:hAnsi="宋体" w:cs="宋体"/>
                <w:b/>
                <w:color w:val="000000"/>
                <w:sz w:val="18"/>
                <w:szCs w:val="18"/>
              </w:rPr>
              <w:t>合计</w:t>
            </w:r>
          </w:p>
        </w:tc>
        <w:tc>
          <w:tcPr>
            <w:tcW w:w="189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8836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5625</w:t>
            </w:r>
            <w:bookmarkStart w:id="146" w:name="_GoBack"/>
            <w:bookmarkEnd w:id="146"/>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63.66%</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hint="eastAsia" w:ascii="宋体" w:hAnsi="宋体" w:eastAsia="宋体" w:cs="宋体"/>
                <w:b/>
                <w:color w:val="000000"/>
                <w:sz w:val="18"/>
                <w:szCs w:val="18"/>
                <w:lang w:eastAsia="zh-CN"/>
              </w:rPr>
            </w:pPr>
            <w:r>
              <w:rPr>
                <w:rFonts w:hint="eastAsia" w:ascii="宋体" w:hAnsi="宋体" w:cs="宋体"/>
                <w:b/>
                <w:color w:val="000000"/>
                <w:sz w:val="18"/>
                <w:szCs w:val="18"/>
              </w:rPr>
              <w:t>203</w:t>
            </w:r>
            <w:r>
              <w:rPr>
                <w:rFonts w:hint="eastAsia" w:ascii="宋体" w:hAnsi="宋体" w:cs="宋体"/>
                <w:b/>
                <w:color w:val="000000"/>
                <w:sz w:val="18"/>
                <w:szCs w:val="18"/>
                <w:lang w:val="en-US" w:eastAsia="zh-CN"/>
              </w:rPr>
              <w:t>0</w:t>
            </w:r>
          </w:p>
        </w:tc>
        <w:tc>
          <w:tcPr>
            <w:tcW w:w="1122"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22.9</w:t>
            </w:r>
            <w:r>
              <w:rPr>
                <w:rFonts w:hint="eastAsia" w:ascii="宋体" w:hAnsi="宋体" w:cs="宋体"/>
                <w:b/>
                <w:color w:val="000000"/>
                <w:sz w:val="18"/>
                <w:szCs w:val="18"/>
                <w:lang w:val="en-US" w:eastAsia="zh-CN"/>
              </w:rPr>
              <w:t>7</w:t>
            </w:r>
            <w:r>
              <w:rPr>
                <w:rFonts w:hint="eastAsia" w:ascii="宋体" w:hAnsi="宋体" w:cs="宋体"/>
                <w:b/>
                <w:color w:val="000000"/>
                <w:sz w:val="18"/>
                <w:szCs w:val="18"/>
              </w:rPr>
              <w:t>%</w:t>
            </w:r>
          </w:p>
        </w:tc>
        <w:tc>
          <w:tcPr>
            <w:tcW w:w="1123"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宋体" w:hAnsi="宋体" w:cs="宋体"/>
                <w:b/>
                <w:color w:val="000000"/>
                <w:sz w:val="18"/>
                <w:szCs w:val="18"/>
              </w:rPr>
            </w:pPr>
            <w:r>
              <w:rPr>
                <w:rFonts w:hint="eastAsia" w:ascii="宋体" w:hAnsi="宋体" w:cs="宋体"/>
                <w:b/>
                <w:color w:val="000000"/>
                <w:sz w:val="18"/>
                <w:szCs w:val="18"/>
              </w:rPr>
              <w:t>86.6</w:t>
            </w:r>
            <w:r>
              <w:rPr>
                <w:rFonts w:hint="eastAsia" w:ascii="宋体" w:hAnsi="宋体" w:cs="宋体"/>
                <w:b/>
                <w:color w:val="000000"/>
                <w:sz w:val="18"/>
                <w:szCs w:val="18"/>
                <w:lang w:val="en-US" w:eastAsia="zh-CN"/>
              </w:rPr>
              <w:t>3</w:t>
            </w:r>
            <w:r>
              <w:rPr>
                <w:rFonts w:hint="eastAsia" w:ascii="宋体" w:hAnsi="宋体" w:cs="宋体"/>
                <w:b/>
                <w:color w:val="000000"/>
                <w:sz w:val="18"/>
                <w:szCs w:val="18"/>
              </w:rPr>
              <w:t>%</w:t>
            </w:r>
          </w:p>
        </w:tc>
      </w:tr>
    </w:tbl>
    <w:p>
      <w:pPr>
        <w:adjustRightInd w:val="0"/>
        <w:snapToGrid w:val="0"/>
        <w:outlineLvl w:val="0"/>
        <w:rPr>
          <w:rFonts w:ascii="仿宋_GB2312" w:eastAsia="仿宋_GB2312"/>
          <w:sz w:val="32"/>
          <w:szCs w:val="32"/>
        </w:rPr>
      </w:pPr>
    </w:p>
    <w:p>
      <w:pPr>
        <w:outlineLvl w:val="0"/>
        <w:rPr>
          <w:rFonts w:ascii="仿宋_GB2312" w:eastAsia="仿宋_GB2312"/>
          <w:sz w:val="32"/>
          <w:szCs w:val="32"/>
        </w:rPr>
      </w:pPr>
      <w:bookmarkStart w:id="138" w:name="_Toc16355"/>
      <w:bookmarkStart w:id="139" w:name="_Toc22820"/>
      <w:r>
        <w:rPr>
          <w:rFonts w:hint="eastAsia" w:ascii="仿宋_GB2312" w:eastAsia="仿宋_GB2312"/>
          <w:sz w:val="32"/>
          <w:szCs w:val="32"/>
        </w:rPr>
        <w:br w:type="page"/>
      </w:r>
      <w:bookmarkStart w:id="140" w:name="_Toc2717"/>
      <w:bookmarkStart w:id="141" w:name="_Toc23792"/>
      <w:bookmarkStart w:id="142" w:name="_Toc22165"/>
      <w:bookmarkStart w:id="143" w:name="_Toc9294"/>
      <w:bookmarkStart w:id="144" w:name="_Toc31363"/>
      <w:bookmarkStart w:id="145" w:name="_Toc1852"/>
      <w:r>
        <w:rPr>
          <w:rFonts w:hint="eastAsia" w:ascii="仿宋_GB2312" w:eastAsia="仿宋_GB2312"/>
          <w:sz w:val="32"/>
          <w:szCs w:val="32"/>
        </w:rPr>
        <w:t>附件2：</w:t>
      </w:r>
      <w:r>
        <w:rPr>
          <w:rFonts w:hint="eastAsia"/>
          <w:b/>
          <w:sz w:val="28"/>
          <w:szCs w:val="28"/>
        </w:rPr>
        <w:t>2019届本科毕业生分专业就业情况统计表</w:t>
      </w:r>
      <w:bookmarkEnd w:id="138"/>
      <w:bookmarkEnd w:id="139"/>
      <w:bookmarkEnd w:id="140"/>
      <w:bookmarkEnd w:id="141"/>
      <w:bookmarkEnd w:id="142"/>
      <w:bookmarkEnd w:id="143"/>
      <w:bookmarkEnd w:id="144"/>
      <w:bookmarkEnd w:id="145"/>
    </w:p>
    <w:p>
      <w:pPr>
        <w:outlineLvl w:val="0"/>
        <w:rPr>
          <w:rFonts w:ascii="仿宋_GB2312" w:eastAsia="仿宋_GB2312"/>
          <w:sz w:val="32"/>
          <w:szCs w:val="32"/>
        </w:rPr>
        <w:sectPr>
          <w:footerReference r:id="rId6" w:type="default"/>
          <w:type w:val="continuous"/>
          <w:pgSz w:w="11906" w:h="16838"/>
          <w:pgMar w:top="1440" w:right="1800" w:bottom="1247" w:left="1800" w:header="851" w:footer="539" w:gutter="0"/>
          <w:cols w:space="720" w:num="1"/>
          <w:docGrid w:type="lines" w:linePitch="312" w:charSpace="0"/>
        </w:sectPr>
      </w:pPr>
    </w:p>
    <w:tbl>
      <w:tblPr>
        <w:tblStyle w:val="19"/>
        <w:tblW w:w="9620" w:type="dxa"/>
        <w:tblInd w:w="-692" w:type="dxa"/>
        <w:tblLayout w:type="fixed"/>
        <w:tblCellMar>
          <w:top w:w="15" w:type="dxa"/>
          <w:left w:w="15" w:type="dxa"/>
          <w:bottom w:w="15" w:type="dxa"/>
          <w:right w:w="15" w:type="dxa"/>
        </w:tblCellMar>
      </w:tblPr>
      <w:tblGrid>
        <w:gridCol w:w="1700"/>
        <w:gridCol w:w="1849"/>
        <w:gridCol w:w="1010"/>
        <w:gridCol w:w="1012"/>
        <w:gridCol w:w="1011"/>
        <w:gridCol w:w="1014"/>
        <w:gridCol w:w="1008"/>
        <w:gridCol w:w="1016"/>
      </w:tblGrid>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专业</w:t>
            </w:r>
          </w:p>
        </w:tc>
        <w:tc>
          <w:tcPr>
            <w:tcW w:w="1849"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院系</w:t>
            </w:r>
          </w:p>
        </w:tc>
        <w:tc>
          <w:tcPr>
            <w:tcW w:w="1010"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毕业人数</w:t>
            </w:r>
          </w:p>
        </w:tc>
        <w:tc>
          <w:tcPr>
            <w:tcW w:w="1012"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就业人数</w:t>
            </w:r>
          </w:p>
        </w:tc>
        <w:tc>
          <w:tcPr>
            <w:tcW w:w="1011"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就业率</w:t>
            </w:r>
          </w:p>
        </w:tc>
        <w:tc>
          <w:tcPr>
            <w:tcW w:w="1014"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升学人数</w:t>
            </w:r>
          </w:p>
        </w:tc>
        <w:tc>
          <w:tcPr>
            <w:tcW w:w="1008"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升学率</w:t>
            </w:r>
          </w:p>
        </w:tc>
        <w:tc>
          <w:tcPr>
            <w:tcW w:w="1016" w:type="dxa"/>
            <w:tcBorders>
              <w:top w:val="single" w:color="4BACC6" w:sz="8" w:space="0"/>
              <w:left w:val="single" w:color="4BACC6" w:sz="8" w:space="0"/>
              <w:bottom w:val="single" w:color="FFFFFF" w:sz="18" w:space="0"/>
              <w:right w:val="single" w:color="4BACC6" w:sz="8" w:space="0"/>
            </w:tcBorders>
            <w:shd w:val="clear" w:color="auto" w:fill="4BACC6"/>
            <w:vAlign w:val="center"/>
          </w:tcPr>
          <w:p>
            <w:pPr>
              <w:widowControl/>
              <w:jc w:val="center"/>
              <w:textAlignment w:val="center"/>
              <w:rPr>
                <w:rFonts w:ascii="宋体" w:hAnsi="宋体" w:cs="宋体"/>
                <w:b/>
                <w:bCs/>
                <w:color w:val="FFFFFF"/>
                <w:sz w:val="20"/>
              </w:rPr>
            </w:pPr>
            <w:r>
              <w:rPr>
                <w:rFonts w:ascii="宋体" w:hAnsi="宋体" w:cs="宋体"/>
                <w:b/>
                <w:bCs/>
                <w:color w:val="FFFFFF"/>
                <w:kern w:val="0"/>
                <w:sz w:val="20"/>
                <w:lang w:bidi="ar"/>
              </w:rPr>
              <w:t>总就业率</w:t>
            </w:r>
          </w:p>
        </w:tc>
      </w:tr>
      <w:tr>
        <w:tblPrEx>
          <w:tblCellMar>
            <w:top w:w="15" w:type="dxa"/>
            <w:left w:w="15" w:type="dxa"/>
            <w:bottom w:w="15" w:type="dxa"/>
            <w:right w:w="15" w:type="dxa"/>
          </w:tblCellMar>
        </w:tblPrEx>
        <w:trPr>
          <w:trHeight w:val="520" w:hRule="atLeast"/>
        </w:trPr>
        <w:tc>
          <w:tcPr>
            <w:tcW w:w="170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材料成型及控制工程</w:t>
            </w:r>
          </w:p>
        </w:tc>
        <w:tc>
          <w:tcPr>
            <w:tcW w:w="1849"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010"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88</w:t>
            </w:r>
          </w:p>
        </w:tc>
        <w:tc>
          <w:tcPr>
            <w:tcW w:w="1012"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72</w:t>
            </w:r>
          </w:p>
        </w:tc>
        <w:tc>
          <w:tcPr>
            <w:tcW w:w="1011"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81.82%</w:t>
            </w:r>
          </w:p>
        </w:tc>
        <w:tc>
          <w:tcPr>
            <w:tcW w:w="1014"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16</w:t>
            </w:r>
          </w:p>
        </w:tc>
        <w:tc>
          <w:tcPr>
            <w:tcW w:w="1008"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18.18%</w:t>
            </w:r>
          </w:p>
        </w:tc>
        <w:tc>
          <w:tcPr>
            <w:tcW w:w="1016" w:type="dxa"/>
            <w:tcBorders>
              <w:top w:val="single" w:color="FFFFFF" w:sz="1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100.00%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车辆工程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93</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66</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70.97%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26</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27.96%</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98.92%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建筑环境与能源应用工程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57</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45</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78.95%</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19.30%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98.25%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食品营养与检验教育</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粮油食品学院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56</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37</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66.07%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32.14%</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98.21%</w:t>
            </w:r>
          </w:p>
        </w:tc>
      </w:tr>
      <w:tr>
        <w:tblPrEx>
          <w:tblCellMar>
            <w:top w:w="15" w:type="dxa"/>
            <w:left w:w="15" w:type="dxa"/>
            <w:bottom w:w="15" w:type="dxa"/>
            <w:right w:w="15" w:type="dxa"/>
          </w:tblCellMar>
        </w:tblPrEx>
        <w:trPr>
          <w:trHeight w:val="444"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食品科学与工程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粮油食品学院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265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153</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57.74%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106</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40.00%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97.74%</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粮食工程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粮油食品学院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56</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64.37%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33.33%</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97.70%</w:t>
            </w:r>
          </w:p>
        </w:tc>
      </w:tr>
      <w:tr>
        <w:tblPrEx>
          <w:tblCellMar>
            <w:top w:w="15" w:type="dxa"/>
            <w:left w:w="15" w:type="dxa"/>
            <w:bottom w:w="15" w:type="dxa"/>
            <w:right w:w="15" w:type="dxa"/>
          </w:tblCellMar>
        </w:tblPrEx>
        <w:trPr>
          <w:trHeight w:val="502"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color w:val="000000"/>
                <w:sz w:val="18"/>
                <w:szCs w:val="18"/>
              </w:rPr>
            </w:pPr>
            <w:r>
              <w:rPr>
                <w:rFonts w:ascii="宋体" w:hAnsi="宋体" w:eastAsia="宋体" w:cs="宋体"/>
                <w:i w:val="0"/>
                <w:color w:val="000000"/>
                <w:kern w:val="0"/>
                <w:sz w:val="18"/>
                <w:szCs w:val="18"/>
                <w:u w:val="none"/>
                <w:lang w:val="en-US" w:eastAsia="zh-CN" w:bidi="ar"/>
              </w:rPr>
              <w:t>测控技术与仪器</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应用技术职业学院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43</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41</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95.35%</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2.33%</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97.67%</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高分子材料与工程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材料科学与工程学院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53.57%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37</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44.05%</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97.62%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软件工程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146</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122</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83.56%</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13.70%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97.26%</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材料科学与工程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材料科学与工程学院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60</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57.69%</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41</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39.42%</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97.12%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食品质量与安全</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粮油食品学院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45</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72.58%</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24.19%</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96.77%</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动画</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86.21%</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10.34%</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96.55%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数字媒体艺术</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26</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89.66%</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6.90%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96.55%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机械设计制造及其自动化</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287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209</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72.82%</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68</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23.69%</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96.52%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测控技术与仪器</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电气工程学院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104</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79.81%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16.35%</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96.15%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道路桥梁与渡河工程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98</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77</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78.57%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17.35%</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95.92%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应用物理学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49</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31</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63.27%</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16</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32.65%</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95.92%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包装工程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48</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40</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83.33%</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12.50%</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95.83%</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过程装备与控制工程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机电工程学院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97</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81</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83.51%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11.34%</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94.85%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电子信息工程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151</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60.93%</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51</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33.77%</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94.70%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电子商务</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100</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80.00%</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14.40%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94.40%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124</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67.39%</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48</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26.09%</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93.48%</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计算机科学与技术</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181</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136</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75.14%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33</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18.23%</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93.37%</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财政学</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经济贸易学院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70</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44</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62.86%</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21</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30.00%</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92.86%</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工程力学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37</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67.27%</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25.45%</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92.73%</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空间信息与数字技术</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55</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43</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78.18%</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14.55%</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92.73%</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工程管理</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94</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79</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84.04%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8.51%</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92.55%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工商管理</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93</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79.57%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12.90%</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92.47%</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应用化学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化学化工与环境学院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56</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53.33%</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41</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39.05%</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92.38%</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国际经济与贸易</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经济贸易学院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96</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82.05%</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10.26%</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92.31%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化学化工与环境学院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107</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57.94%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36</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33.64%</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91.59%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建筑学</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55</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41</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74.55%</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16.36%</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90.91%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物联网工程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98</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75.51%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15.31%</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90.82%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物流管理</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149</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77.18%</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13.42%</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90.60%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信息与计算科学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21</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19</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90.48%</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jc w:val="center"/>
              <w:rPr>
                <w:rFonts w:ascii="Arial" w:hAnsi="Arial" w:cs="Arial"/>
                <w:color w:val="000000"/>
                <w:sz w:val="20"/>
                <w:szCs w:val="20"/>
              </w:rPr>
            </w:pP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0.00%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90.48%</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轨道交通信号与控制</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电气工程学院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39</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62.90%</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27.42%</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90.32%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金融学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经济贸易学院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216</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142</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65.74%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52</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24.07%</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89.81%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无机非金属材料工程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材料科学与工程学院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80</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59.70%</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40</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29.85%</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89.55%</w:t>
            </w:r>
          </w:p>
        </w:tc>
      </w:tr>
      <w:tr>
        <w:tblPrEx>
          <w:tblCellMar>
            <w:top w:w="15" w:type="dxa"/>
            <w:left w:w="15" w:type="dxa"/>
            <w:bottom w:w="15" w:type="dxa"/>
            <w:right w:w="15" w:type="dxa"/>
          </w:tblCellMar>
        </w:tblPrEx>
        <w:trPr>
          <w:trHeight w:val="478"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产品设计</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54</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44</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81.48%</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7.41%</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88.89%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电子信息科学与技术</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信息科学与工程学院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125</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82</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65.60%</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23.20%</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88.80%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化学工程与工艺</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化学化工与环境学院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37</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56.92%</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30.77%</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87.69%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经济学</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经济贸易学院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65</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69.23%</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18.46%</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87.69%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数学与应用数学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109</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81</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74.31%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12.84%</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87.16%</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生物技术</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国际教育学院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44</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70.97%</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16.13%</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87.10%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动物科学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91</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50</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54.95%</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31.87%</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86.81%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交通工程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土木建筑学院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52</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38</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73.08%</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13.46%</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86.54%</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47</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55.29%</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26</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30.59%</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85.88%</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环境工程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化学化工与环境学院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116</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47.41%</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44</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37.93%</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85.34%</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财务管理</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68</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48</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70.59%</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14.71%</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85.29%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环境设计</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102</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81</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79.41%</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5.88%</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85.29%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自动化</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电气工程学院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113</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64.57%</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35</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20.00%</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84.57%</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视觉传达设计</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设计艺术学院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39</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68.42%</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15.79%</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84.21%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会计学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国际教育学院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132</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75</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56.82%</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36</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27.27%</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84.09%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制药工程</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110</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73</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66.36%</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19</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17.27%</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83.64%</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食品科学与工程</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国际教育学院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183</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91</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49.73%</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33.88%</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83.61%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电气工程及其自动化</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电气工程学院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139</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67.15%</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33</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15.94%</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83.09%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法学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法学院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118</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62.71%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24</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20.34%</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83.05%</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广播电视学</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新闻与传播学院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86</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63.95%</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17.44%</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81.40%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广告学</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新闻与传播学院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80</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69.57%</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10.43%</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80.00%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播音与主持艺术</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新闻与传播学院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66</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70.21%</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9.57%</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79.79%</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英语</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外语学院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152</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93</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61.18%</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28</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18.42%</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79.61%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人力资源管理</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国际教育学院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154</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88</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57.14%</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32</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20.78%</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77.92%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日语</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外语学院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22</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40.91%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8</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36.36%</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77.27%</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旅游管理</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管理学院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47</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29</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61.70%</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14.89%</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76.60%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网络与新媒体</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新闻与传播学院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91</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58</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63.74%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11</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12.09%</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75.82%</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生物技术</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生物工程学院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50</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25</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50.00%</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12</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24.00%</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74.00%</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化学工程与工艺</w:t>
            </w:r>
          </w:p>
        </w:tc>
        <w:tc>
          <w:tcPr>
            <w:tcW w:w="1849"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left"/>
              <w:textAlignment w:val="center"/>
              <w:rPr>
                <w:rFonts w:ascii="Arial" w:hAnsi="Arial" w:cs="Arial"/>
                <w:color w:val="000000"/>
                <w:sz w:val="18"/>
                <w:szCs w:val="18"/>
              </w:rPr>
            </w:pPr>
            <w:r>
              <w:rPr>
                <w:rFonts w:ascii="宋体" w:hAnsi="宋体" w:eastAsia="宋体" w:cs="宋体"/>
                <w:i w:val="0"/>
                <w:color w:val="000000"/>
                <w:kern w:val="0"/>
                <w:sz w:val="18"/>
                <w:szCs w:val="18"/>
                <w:u w:val="none"/>
                <w:lang w:val="en-US" w:eastAsia="zh-CN" w:bidi="ar"/>
              </w:rPr>
              <w:t>应用技术职业学院</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44</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28</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63.64%</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1</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2.27%</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color w:val="000000"/>
                <w:sz w:val="20"/>
                <w:szCs w:val="20"/>
              </w:rPr>
            </w:pPr>
            <w:r>
              <w:rPr>
                <w:rFonts w:ascii="宋体" w:hAnsi="宋体" w:eastAsia="宋体" w:cs="宋体"/>
                <w:i w:val="0"/>
                <w:color w:val="000000"/>
                <w:kern w:val="0"/>
                <w:sz w:val="20"/>
                <w:szCs w:val="20"/>
                <w:u w:val="none"/>
                <w:lang w:val="en-US" w:eastAsia="zh-CN" w:bidi="ar"/>
              </w:rPr>
              <w:t>65.91%</w:t>
            </w:r>
          </w:p>
        </w:tc>
      </w:tr>
      <w:tr>
        <w:tblPrEx>
          <w:tblCellMar>
            <w:top w:w="15" w:type="dxa"/>
            <w:left w:w="15" w:type="dxa"/>
            <w:bottom w:w="15" w:type="dxa"/>
            <w:right w:w="15" w:type="dxa"/>
          </w:tblCellMar>
        </w:tblPrEx>
        <w:trPr>
          <w:trHeight w:val="520" w:hRule="atLeast"/>
        </w:trPr>
        <w:tc>
          <w:tcPr>
            <w:tcW w:w="170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cs="Arial"/>
                <w:color w:val="000000"/>
                <w:sz w:val="18"/>
                <w:szCs w:val="18"/>
              </w:rPr>
            </w:pPr>
            <w:r>
              <w:rPr>
                <w:rFonts w:ascii="宋体" w:hAnsi="宋体" w:eastAsia="宋体" w:cs="宋体"/>
                <w:i w:val="0"/>
                <w:color w:val="000000"/>
                <w:kern w:val="0"/>
                <w:sz w:val="18"/>
                <w:szCs w:val="18"/>
                <w:u w:val="none"/>
                <w:lang w:val="en-US" w:eastAsia="zh-CN" w:bidi="ar"/>
              </w:rPr>
              <w:t>市场营销</w:t>
            </w:r>
          </w:p>
        </w:tc>
        <w:tc>
          <w:tcPr>
            <w:tcW w:w="1849"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left"/>
              <w:textAlignment w:val="center"/>
              <w:rPr>
                <w:rFonts w:cs="Arial"/>
                <w:color w:val="000000"/>
                <w:sz w:val="18"/>
                <w:szCs w:val="18"/>
              </w:rPr>
            </w:pPr>
            <w:r>
              <w:rPr>
                <w:rFonts w:ascii="宋体" w:hAnsi="宋体" w:eastAsia="宋体" w:cs="宋体"/>
                <w:i w:val="0"/>
                <w:color w:val="000000"/>
                <w:kern w:val="0"/>
                <w:sz w:val="18"/>
                <w:szCs w:val="18"/>
                <w:u w:val="none"/>
                <w:lang w:val="en-US" w:eastAsia="zh-CN" w:bidi="ar"/>
              </w:rPr>
              <w:t>国际教育学院</w:t>
            </w:r>
          </w:p>
        </w:tc>
        <w:tc>
          <w:tcPr>
            <w:tcW w:w="1010"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cs="Arial"/>
                <w:color w:val="000000"/>
                <w:sz w:val="20"/>
                <w:szCs w:val="20"/>
              </w:rPr>
            </w:pPr>
            <w:r>
              <w:rPr>
                <w:rFonts w:ascii="宋体" w:hAnsi="宋体" w:eastAsia="宋体" w:cs="宋体"/>
                <w:i w:val="0"/>
                <w:color w:val="000000"/>
                <w:kern w:val="0"/>
                <w:sz w:val="20"/>
                <w:szCs w:val="20"/>
                <w:u w:val="none"/>
                <w:lang w:val="en-US" w:eastAsia="zh-CN" w:bidi="ar"/>
              </w:rPr>
              <w:t>176</w:t>
            </w:r>
          </w:p>
        </w:tc>
        <w:tc>
          <w:tcPr>
            <w:tcW w:w="1012"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cs="Arial"/>
                <w:color w:val="000000"/>
                <w:sz w:val="20"/>
                <w:szCs w:val="20"/>
              </w:rPr>
            </w:pPr>
            <w:r>
              <w:rPr>
                <w:rFonts w:ascii="宋体" w:hAnsi="宋体" w:eastAsia="宋体" w:cs="宋体"/>
                <w:i w:val="0"/>
                <w:color w:val="000000"/>
                <w:kern w:val="0"/>
                <w:sz w:val="20"/>
                <w:szCs w:val="20"/>
                <w:u w:val="none"/>
                <w:lang w:val="en-US" w:eastAsia="zh-CN" w:bidi="ar"/>
              </w:rPr>
              <w:t>66</w:t>
            </w:r>
          </w:p>
        </w:tc>
        <w:tc>
          <w:tcPr>
            <w:tcW w:w="1011"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cs="Arial"/>
                <w:color w:val="000000"/>
                <w:sz w:val="20"/>
                <w:szCs w:val="20"/>
              </w:rPr>
            </w:pPr>
            <w:r>
              <w:rPr>
                <w:rFonts w:ascii="宋体" w:hAnsi="宋体" w:eastAsia="宋体" w:cs="宋体"/>
                <w:i w:val="0"/>
                <w:color w:val="000000"/>
                <w:kern w:val="0"/>
                <w:sz w:val="20"/>
                <w:szCs w:val="20"/>
                <w:u w:val="none"/>
                <w:lang w:val="en-US" w:eastAsia="zh-CN" w:bidi="ar"/>
              </w:rPr>
              <w:t>37.50%</w:t>
            </w:r>
          </w:p>
        </w:tc>
        <w:tc>
          <w:tcPr>
            <w:tcW w:w="1014"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cs="Arial"/>
                <w:color w:val="000000"/>
                <w:sz w:val="20"/>
                <w:szCs w:val="20"/>
              </w:rPr>
            </w:pPr>
            <w:r>
              <w:rPr>
                <w:rFonts w:ascii="宋体" w:hAnsi="宋体" w:eastAsia="宋体" w:cs="宋体"/>
                <w:i w:val="0"/>
                <w:color w:val="000000"/>
                <w:kern w:val="0"/>
                <w:sz w:val="20"/>
                <w:szCs w:val="20"/>
                <w:u w:val="none"/>
                <w:lang w:val="en-US" w:eastAsia="zh-CN" w:bidi="ar"/>
              </w:rPr>
              <w:t>44</w:t>
            </w:r>
          </w:p>
        </w:tc>
        <w:tc>
          <w:tcPr>
            <w:tcW w:w="1008"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cs="Arial"/>
                <w:color w:val="000000"/>
                <w:sz w:val="20"/>
                <w:szCs w:val="20"/>
              </w:rPr>
            </w:pPr>
            <w:r>
              <w:rPr>
                <w:rFonts w:ascii="宋体" w:hAnsi="宋体" w:eastAsia="宋体" w:cs="宋体"/>
                <w:i w:val="0"/>
                <w:color w:val="000000"/>
                <w:kern w:val="0"/>
                <w:sz w:val="20"/>
                <w:szCs w:val="20"/>
                <w:u w:val="none"/>
                <w:lang w:val="en-US" w:eastAsia="zh-CN" w:bidi="ar"/>
              </w:rPr>
              <w:t>25.00%</w:t>
            </w:r>
          </w:p>
        </w:tc>
        <w:tc>
          <w:tcPr>
            <w:tcW w:w="1016" w:type="dxa"/>
            <w:tcBorders>
              <w:top w:val="single" w:color="4BACC6" w:sz="8" w:space="0"/>
              <w:left w:val="single" w:color="4BACC6" w:sz="8" w:space="0"/>
              <w:bottom w:val="single" w:color="4BACC6" w:sz="8" w:space="0"/>
              <w:right w:val="single" w:color="4BACC6" w:sz="8" w:space="0"/>
            </w:tcBorders>
            <w:shd w:val="clear" w:color="auto" w:fill="FFFFFF"/>
            <w:vAlign w:val="center"/>
          </w:tcPr>
          <w:p>
            <w:pPr>
              <w:keepNext w:val="0"/>
              <w:keepLines w:val="0"/>
              <w:widowControl/>
              <w:suppressLineNumbers w:val="0"/>
              <w:jc w:val="center"/>
              <w:textAlignment w:val="center"/>
              <w:rPr>
                <w:rFonts w:cs="Arial"/>
                <w:color w:val="000000"/>
                <w:sz w:val="20"/>
                <w:szCs w:val="20"/>
              </w:rPr>
            </w:pPr>
            <w:r>
              <w:rPr>
                <w:rFonts w:ascii="宋体" w:hAnsi="宋体" w:eastAsia="宋体" w:cs="宋体"/>
                <w:i w:val="0"/>
                <w:color w:val="000000"/>
                <w:kern w:val="0"/>
                <w:sz w:val="20"/>
                <w:szCs w:val="20"/>
                <w:u w:val="none"/>
                <w:lang w:val="en-US" w:eastAsia="zh-CN" w:bidi="ar"/>
              </w:rPr>
              <w:t>62.50%</w:t>
            </w:r>
          </w:p>
        </w:tc>
      </w:tr>
      <w:tr>
        <w:tblPrEx>
          <w:tblCellMar>
            <w:top w:w="15" w:type="dxa"/>
            <w:left w:w="15" w:type="dxa"/>
            <w:bottom w:w="15" w:type="dxa"/>
            <w:right w:w="15" w:type="dxa"/>
          </w:tblCellMar>
        </w:tblPrEx>
        <w:trPr>
          <w:trHeight w:val="585" w:hRule="atLeast"/>
        </w:trPr>
        <w:tc>
          <w:tcPr>
            <w:tcW w:w="3549" w:type="dxa"/>
            <w:gridSpan w:val="2"/>
            <w:tcBorders>
              <w:top w:val="single" w:color="4BACC6" w:sz="8" w:space="0"/>
              <w:left w:val="single" w:color="4BACC6" w:sz="8" w:space="0"/>
              <w:bottom w:val="single" w:color="4BACC6" w:sz="8" w:space="0"/>
              <w:right w:val="single" w:color="4BACC6" w:sz="8" w:space="0"/>
            </w:tcBorders>
            <w:shd w:val="clear" w:color="auto" w:fill="B7DDE8"/>
            <w:vAlign w:val="center"/>
          </w:tcPr>
          <w:p>
            <w:pPr>
              <w:widowControl/>
              <w:jc w:val="center"/>
              <w:textAlignment w:val="center"/>
              <w:rPr>
                <w:rFonts w:ascii="宋体" w:hAnsi="宋体" w:cs="宋体"/>
                <w:b/>
                <w:bCs/>
                <w:color w:val="000000"/>
                <w:kern w:val="0"/>
                <w:sz w:val="20"/>
                <w:lang w:bidi="ar"/>
              </w:rPr>
            </w:pPr>
            <w:r>
              <w:rPr>
                <w:rFonts w:hint="eastAsia" w:ascii="宋体" w:hAnsi="宋体" w:cs="宋体"/>
                <w:b/>
                <w:bCs/>
                <w:color w:val="000000"/>
                <w:kern w:val="0"/>
                <w:sz w:val="20"/>
                <w:lang w:bidi="ar"/>
              </w:rPr>
              <w:t>合计</w:t>
            </w:r>
          </w:p>
        </w:tc>
        <w:tc>
          <w:tcPr>
            <w:tcW w:w="1010"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b/>
                <w:bCs/>
                <w:color w:val="000000"/>
                <w:sz w:val="32"/>
                <w:szCs w:val="32"/>
              </w:rPr>
            </w:pPr>
            <w:r>
              <w:rPr>
                <w:rFonts w:ascii="宋体" w:hAnsi="宋体" w:eastAsia="宋体" w:cs="宋体"/>
                <w:b/>
                <w:bCs/>
                <w:i w:val="0"/>
                <w:color w:val="000000"/>
                <w:kern w:val="0"/>
                <w:sz w:val="21"/>
                <w:szCs w:val="21"/>
                <w:u w:val="none"/>
                <w:lang w:val="en-US" w:eastAsia="zh-CN" w:bidi="ar"/>
              </w:rPr>
              <w:t>6905</w:t>
            </w:r>
          </w:p>
        </w:tc>
        <w:tc>
          <w:tcPr>
            <w:tcW w:w="1012"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b/>
                <w:bCs/>
                <w:color w:val="000000"/>
                <w:sz w:val="32"/>
                <w:szCs w:val="32"/>
              </w:rPr>
            </w:pPr>
            <w:r>
              <w:rPr>
                <w:rFonts w:ascii="宋体" w:hAnsi="宋体" w:eastAsia="宋体" w:cs="宋体"/>
                <w:b/>
                <w:bCs/>
                <w:i w:val="0"/>
                <w:color w:val="000000"/>
                <w:kern w:val="0"/>
                <w:sz w:val="21"/>
                <w:szCs w:val="21"/>
                <w:u w:val="none"/>
                <w:lang w:val="en-US" w:eastAsia="zh-CN" w:bidi="ar"/>
              </w:rPr>
              <w:t>4620</w:t>
            </w:r>
          </w:p>
        </w:tc>
        <w:tc>
          <w:tcPr>
            <w:tcW w:w="1011"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b/>
                <w:bCs/>
                <w:color w:val="000000"/>
                <w:sz w:val="32"/>
                <w:szCs w:val="32"/>
              </w:rPr>
            </w:pPr>
            <w:r>
              <w:rPr>
                <w:rFonts w:ascii="宋体" w:hAnsi="宋体" w:eastAsia="宋体" w:cs="宋体"/>
                <w:b/>
                <w:bCs/>
                <w:i w:val="0"/>
                <w:color w:val="000000"/>
                <w:kern w:val="0"/>
                <w:sz w:val="21"/>
                <w:szCs w:val="21"/>
                <w:u w:val="none"/>
                <w:lang w:val="en-US" w:eastAsia="zh-CN" w:bidi="ar"/>
              </w:rPr>
              <w:t>66.91%</w:t>
            </w:r>
          </w:p>
        </w:tc>
        <w:tc>
          <w:tcPr>
            <w:tcW w:w="1014"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b/>
                <w:bCs/>
                <w:color w:val="000000"/>
                <w:sz w:val="32"/>
                <w:szCs w:val="32"/>
              </w:rPr>
            </w:pPr>
            <w:r>
              <w:rPr>
                <w:rFonts w:ascii="宋体" w:hAnsi="宋体" w:eastAsia="宋体" w:cs="宋体"/>
                <w:b/>
                <w:bCs/>
                <w:i w:val="0"/>
                <w:color w:val="000000"/>
                <w:kern w:val="0"/>
                <w:sz w:val="21"/>
                <w:szCs w:val="21"/>
                <w:u w:val="none"/>
                <w:lang w:val="en-US" w:eastAsia="zh-CN" w:bidi="ar"/>
              </w:rPr>
              <w:t>1523</w:t>
            </w:r>
          </w:p>
        </w:tc>
        <w:tc>
          <w:tcPr>
            <w:tcW w:w="1008"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b/>
                <w:bCs/>
                <w:color w:val="000000"/>
                <w:sz w:val="32"/>
                <w:szCs w:val="32"/>
              </w:rPr>
            </w:pPr>
            <w:r>
              <w:rPr>
                <w:rFonts w:ascii="宋体" w:hAnsi="宋体" w:eastAsia="宋体" w:cs="宋体"/>
                <w:b/>
                <w:bCs/>
                <w:i w:val="0"/>
                <w:color w:val="000000"/>
                <w:kern w:val="0"/>
                <w:sz w:val="21"/>
                <w:szCs w:val="21"/>
                <w:u w:val="none"/>
                <w:lang w:val="en-US" w:eastAsia="zh-CN" w:bidi="ar"/>
              </w:rPr>
              <w:t>22.06%</w:t>
            </w:r>
          </w:p>
        </w:tc>
        <w:tc>
          <w:tcPr>
            <w:tcW w:w="1016" w:type="dxa"/>
            <w:tcBorders>
              <w:top w:val="single" w:color="4BACC6" w:sz="8" w:space="0"/>
              <w:left w:val="single" w:color="4BACC6" w:sz="8" w:space="0"/>
              <w:bottom w:val="single" w:color="4BACC6" w:sz="8" w:space="0"/>
              <w:right w:val="single" w:color="4BACC6" w:sz="8" w:space="0"/>
            </w:tcBorders>
            <w:shd w:val="clear" w:color="auto" w:fill="B7DDE8"/>
            <w:vAlign w:val="center"/>
          </w:tcPr>
          <w:p>
            <w:pPr>
              <w:keepNext w:val="0"/>
              <w:keepLines w:val="0"/>
              <w:widowControl/>
              <w:suppressLineNumbers w:val="0"/>
              <w:jc w:val="center"/>
              <w:textAlignment w:val="center"/>
              <w:rPr>
                <w:rFonts w:ascii="Arial" w:hAnsi="Arial" w:cs="Arial"/>
                <w:b/>
                <w:bCs/>
                <w:color w:val="000000"/>
                <w:sz w:val="32"/>
                <w:szCs w:val="32"/>
              </w:rPr>
            </w:pPr>
            <w:r>
              <w:rPr>
                <w:rFonts w:ascii="宋体" w:hAnsi="宋体" w:eastAsia="宋体" w:cs="宋体"/>
                <w:b/>
                <w:bCs/>
                <w:i w:val="0"/>
                <w:color w:val="000000"/>
                <w:kern w:val="0"/>
                <w:sz w:val="21"/>
                <w:szCs w:val="21"/>
                <w:u w:val="none"/>
                <w:lang w:val="en-US" w:eastAsia="zh-CN" w:bidi="ar"/>
              </w:rPr>
              <w:t>88.96%</w:t>
            </w:r>
          </w:p>
        </w:tc>
      </w:tr>
    </w:tbl>
    <w:p>
      <w:pPr>
        <w:rPr>
          <w:b/>
          <w:bCs/>
          <w:sz w:val="32"/>
          <w:szCs w:val="32"/>
        </w:rPr>
      </w:pPr>
    </w:p>
    <w:sectPr>
      <w:footerReference r:id="rId7" w:type="default"/>
      <w:type w:val="continuous"/>
      <w:pgSz w:w="11906" w:h="16838"/>
      <w:pgMar w:top="1440" w:right="1800" w:bottom="1134" w:left="1800" w:header="851" w:footer="5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center"/>
      <w:rPr>
        <w:rFonts w:ascii="仿宋_GB2312" w:eastAsia="仿宋_GB2312"/>
        <w:sz w:val="24"/>
        <w:szCs w:val="24"/>
      </w:rPr>
    </w:pPr>
  </w:p>
  <w:p>
    <w:pPr>
      <w:pStyle w:val="11"/>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center"/>
      <w:rPr>
        <w:rFonts w:ascii="仿宋_GB2312" w:eastAsia="仿宋_GB2312"/>
        <w:sz w:val="24"/>
        <w:szCs w:val="24"/>
      </w:rPr>
    </w:pPr>
  </w:p>
  <w:p>
    <w:pPr>
      <w:pStyle w:val="11"/>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center"/>
      <w:rPr>
        <w:rFonts w:ascii="仿宋_GB2312" w:eastAsia="仿宋_GB2312"/>
        <w:sz w:val="24"/>
        <w:szCs w:val="24"/>
      </w:rPr>
    </w:pPr>
    <w:r>
      <w:rPr>
        <w:sz w:val="24"/>
      </w:rPr>
      <mc:AlternateContent>
        <mc:Choice Requires="wps">
          <w:drawing>
            <wp:anchor distT="0" distB="0" distL="114300" distR="114300" simplePos="0" relativeHeight="251778048" behindDoc="0" locked="0" layoutInCell="1" allowOverlap="1">
              <wp:simplePos x="0" y="0"/>
              <wp:positionH relativeFrom="margin">
                <wp:align>center</wp:align>
              </wp:positionH>
              <wp:positionV relativeFrom="paragraph">
                <wp:posOffset>1270</wp:posOffset>
              </wp:positionV>
              <wp:extent cx="464820" cy="147955"/>
              <wp:effectExtent l="0" t="0" r="0" b="0"/>
              <wp:wrapNone/>
              <wp:docPr id="18" name="文本框 19"/>
              <wp:cNvGraphicFramePr/>
              <a:graphic xmlns:a="http://schemas.openxmlformats.org/drawingml/2006/main">
                <a:graphicData uri="http://schemas.microsoft.com/office/word/2010/wordprocessingShape">
                  <wps:wsp>
                    <wps:cNvSpPr txBox="1"/>
                    <wps:spPr>
                      <a:xfrm>
                        <a:off x="0" y="0"/>
                        <a:ext cx="464820" cy="147955"/>
                      </a:xfrm>
                      <a:prstGeom prst="rect">
                        <a:avLst/>
                      </a:prstGeom>
                      <a:noFill/>
                      <a:ln w="9525">
                        <a:noFill/>
                      </a:ln>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 xml:space="preserve"> 页</w:t>
                          </w:r>
                        </w:p>
                      </w:txbxContent>
                    </wps:txbx>
                    <wps:bodyPr lIns="0" tIns="0" rIns="0" bIns="0" upright="1"/>
                  </wps:wsp>
                </a:graphicData>
              </a:graphic>
            </wp:anchor>
          </w:drawing>
        </mc:Choice>
        <mc:Fallback>
          <w:pict>
            <v:shape id="文本框 19" o:spid="_x0000_s1026" o:spt="202" type="#_x0000_t202" style="position:absolute;left:0pt;margin-top:0.1pt;height:11.65pt;width:36.6pt;mso-position-horizontal:center;mso-position-horizontal-relative:margin;z-index:251778048;mso-width-relative:page;mso-height-relative:page;" filled="f" stroked="f" coordsize="21600,21600" o:gfxdata="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W/xgq1AAAAAMBAAAPAAAA&#10;AAAAAAEAIAAAACIAAABkcnMvZG93bnJldi54bWxQSwECFAAUAAAACACHTuJAMaYZHKcBAAAuAwAA&#10;DgAAAAAAAAABACAAAAAjAQAAZHJzL2Uyb0RvYy54bWxQSwUGAAAAAAYABgBZAQAAPAUAAAAA&#10;">
              <v:fill on="f" focussize="0,0"/>
              <v:stroke on="f"/>
              <v:imagedata o:title=""/>
              <o:lock v:ext="edit" aspectratio="f"/>
              <v:textbox inset="0mm,0mm,0mm,0mm">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 xml:space="preserve"> 页</w:t>
                    </w:r>
                  </w:p>
                </w:txbxContent>
              </v:textbox>
            </v:shape>
          </w:pict>
        </mc:Fallback>
      </mc:AlternateContent>
    </w:r>
  </w:p>
  <w:p>
    <w:pPr>
      <w:pStyle w:val="11"/>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center"/>
      <w:rPr>
        <w:rFonts w:ascii="仿宋_GB2312" w:eastAsia="仿宋_GB2312"/>
        <w:sz w:val="24"/>
        <w:szCs w:val="24"/>
      </w:rPr>
    </w:pPr>
    <w:r>
      <w:rPr>
        <w:sz w:val="24"/>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476885" cy="157480"/>
              <wp:effectExtent l="0" t="0" r="0" b="0"/>
              <wp:wrapNone/>
              <wp:docPr id="7" name="文本框 22"/>
              <wp:cNvGraphicFramePr/>
              <a:graphic xmlns:a="http://schemas.openxmlformats.org/drawingml/2006/main">
                <a:graphicData uri="http://schemas.microsoft.com/office/word/2010/wordprocessingShape">
                  <wps:wsp>
                    <wps:cNvSpPr txBox="1"/>
                    <wps:spPr>
                      <a:xfrm>
                        <a:off x="0" y="0"/>
                        <a:ext cx="476885" cy="15748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27</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2.4pt;width:37.55pt;mso-position-horizontal:center;mso-position-horizontal-relative:margin;mso-wrap-style:none;z-index:251687936;mso-width-relative:page;mso-height-relative:page;" filled="f" stroked="f" coordsize="21600,21600" o:gfxdata="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Kmg39EAAAADAQAADwAAAAAAAAABACAAAAAiAAAAZHJzL2Rvd25yZXYueG1sUEsBAhQAFAAA&#10;AAgAh07iQOzHiwG9AQAAUwMAAA4AAAAAAAAAAQAgAAAAIA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27</w:t>
                    </w:r>
                    <w:r>
                      <w:rPr>
                        <w:rFonts w:hint="eastAsia"/>
                        <w:sz w:val="18"/>
                      </w:rPr>
                      <w:fldChar w:fldCharType="end"/>
                    </w:r>
                    <w:r>
                      <w:rPr>
                        <w:rFonts w:hint="eastAsia"/>
                        <w:sz w:val="18"/>
                      </w:rPr>
                      <w:t xml:space="preserve"> 页</w:t>
                    </w:r>
                  </w:p>
                </w:txbxContent>
              </v:textbox>
            </v:shape>
          </w:pict>
        </mc:Fallback>
      </mc:AlternateContent>
    </w:r>
  </w:p>
  <w:p>
    <w:pPr>
      <w:pStyle w:val="11"/>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center"/>
      <w:rPr>
        <w:rFonts w:ascii="仿宋_GB2312" w:eastAsia="仿宋_GB2312"/>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76885" cy="157480"/>
              <wp:effectExtent l="0" t="1270" r="1270" b="3175"/>
              <wp:wrapNone/>
              <wp:docPr id="3"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476885" cy="15748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35</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文本框 22" o:spid="_x0000_s1026" o:spt="202" type="#_x0000_t202" style="position:absolute;left:0pt;margin-top:0pt;height:12.4pt;width:37.55pt;mso-position-horizontal:center;mso-position-horizontal-relative:margin;mso-wrap-style:none;z-index:251658240;mso-width-relative:page;mso-height-relative:page;" filled="f" stroked="f" coordsize="21600,21600" o:gfxdata="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yp&#10;oN/RAAAAAwEAAA8AAAAAAAAAAQAgAAAAIgAAAGRycy9kb3ducmV2LnhtbFBLAQIUABQAAAAIAIdO&#10;4kD2mQSC8QEAALUDAAAOAAAAAAAAAAEAIAAAACA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35</w:t>
                    </w:r>
                    <w:r>
                      <w:rPr>
                        <w:rFonts w:hint="eastAsia"/>
                        <w:sz w:val="18"/>
                      </w:rPr>
                      <w:fldChar w:fldCharType="end"/>
                    </w:r>
                    <w:r>
                      <w:rPr>
                        <w:rFonts w:hint="eastAsia"/>
                        <w:sz w:val="18"/>
                      </w:rPr>
                      <w:t xml:space="preserve"> 页</w:t>
                    </w:r>
                  </w:p>
                </w:txbxContent>
              </v:textbox>
            </v:shape>
          </w:pict>
        </mc:Fallback>
      </mc:AlternateContent>
    </w:r>
  </w:p>
  <w:p>
    <w:pPr>
      <w:pStyle w:val="11"/>
      <w:tabs>
        <w:tab w:val="clear" w:pos="4153"/>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47FE21DB"/>
    <w:multiLevelType w:val="singleLevel"/>
    <w:tmpl w:val="47FE21DB"/>
    <w:lvl w:ilvl="0" w:tentative="0">
      <w:start w:val="1"/>
      <w:numFmt w:val="decimal"/>
      <w:lvlText w:val="%1."/>
      <w:lvlJc w:val="left"/>
      <w:pPr>
        <w:tabs>
          <w:tab w:val="left" w:pos="312"/>
        </w:tabs>
      </w:pPr>
    </w:lvl>
  </w:abstractNum>
  <w:abstractNum w:abstractNumId="2">
    <w:nsid w:val="55EB8F1A"/>
    <w:multiLevelType w:val="singleLevel"/>
    <w:tmpl w:val="55EB8F1A"/>
    <w:lvl w:ilvl="0" w:tentative="0">
      <w:start w:val="1"/>
      <w:numFmt w:val="decimal"/>
      <w:suff w:val="nothing"/>
      <w:lvlText w:val="%1."/>
      <w:lvlJc w:val="left"/>
    </w:lvl>
  </w:abstractNum>
  <w:abstractNum w:abstractNumId="3">
    <w:nsid w:val="55F6262A"/>
    <w:multiLevelType w:val="singleLevel"/>
    <w:tmpl w:val="55F6262A"/>
    <w:lvl w:ilvl="0" w:tentative="0">
      <w:start w:val="2"/>
      <w:numFmt w:val="decimal"/>
      <w:suff w:val="nothing"/>
      <w:lvlText w:val="（%1）"/>
      <w:lvlJc w:val="left"/>
    </w:lvl>
  </w:abstractNum>
  <w:abstractNum w:abstractNumId="4">
    <w:nsid w:val="59F82144"/>
    <w:multiLevelType w:val="singleLevel"/>
    <w:tmpl w:val="59F82144"/>
    <w:lvl w:ilvl="0" w:tentative="0">
      <w:start w:val="6"/>
      <w:numFmt w:val="chineseCounting"/>
      <w:suff w:val="nothing"/>
      <w:lvlText w:val="（%1）"/>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E9E"/>
    <w:rsid w:val="00024356"/>
    <w:rsid w:val="00031754"/>
    <w:rsid w:val="0004385B"/>
    <w:rsid w:val="00051BC1"/>
    <w:rsid w:val="00061F42"/>
    <w:rsid w:val="00090CBF"/>
    <w:rsid w:val="000B486E"/>
    <w:rsid w:val="000E1CC6"/>
    <w:rsid w:val="000E2112"/>
    <w:rsid w:val="000F0E8F"/>
    <w:rsid w:val="001047D4"/>
    <w:rsid w:val="00114285"/>
    <w:rsid w:val="00124362"/>
    <w:rsid w:val="00143C3D"/>
    <w:rsid w:val="001464A1"/>
    <w:rsid w:val="00153368"/>
    <w:rsid w:val="00157639"/>
    <w:rsid w:val="00160D76"/>
    <w:rsid w:val="00171954"/>
    <w:rsid w:val="00172A27"/>
    <w:rsid w:val="00182F05"/>
    <w:rsid w:val="00190D1F"/>
    <w:rsid w:val="00192DCA"/>
    <w:rsid w:val="00196938"/>
    <w:rsid w:val="00197232"/>
    <w:rsid w:val="001973F9"/>
    <w:rsid w:val="001E0F31"/>
    <w:rsid w:val="001E6C46"/>
    <w:rsid w:val="002016D7"/>
    <w:rsid w:val="00213853"/>
    <w:rsid w:val="00217E15"/>
    <w:rsid w:val="00246CC3"/>
    <w:rsid w:val="00251582"/>
    <w:rsid w:val="00257ACD"/>
    <w:rsid w:val="00263C26"/>
    <w:rsid w:val="002721C7"/>
    <w:rsid w:val="002728C2"/>
    <w:rsid w:val="00277369"/>
    <w:rsid w:val="00282201"/>
    <w:rsid w:val="00282410"/>
    <w:rsid w:val="00282F42"/>
    <w:rsid w:val="00285D23"/>
    <w:rsid w:val="00286D1B"/>
    <w:rsid w:val="00294D7F"/>
    <w:rsid w:val="002A116E"/>
    <w:rsid w:val="002A16FA"/>
    <w:rsid w:val="002A28A9"/>
    <w:rsid w:val="002B06D9"/>
    <w:rsid w:val="002D30AA"/>
    <w:rsid w:val="002D63C5"/>
    <w:rsid w:val="002E1934"/>
    <w:rsid w:val="002E716C"/>
    <w:rsid w:val="002F6DB0"/>
    <w:rsid w:val="002F7FE2"/>
    <w:rsid w:val="00300F0E"/>
    <w:rsid w:val="003010A1"/>
    <w:rsid w:val="00301D79"/>
    <w:rsid w:val="00311C99"/>
    <w:rsid w:val="0033525F"/>
    <w:rsid w:val="00336E7F"/>
    <w:rsid w:val="00352057"/>
    <w:rsid w:val="00354E5D"/>
    <w:rsid w:val="003558A0"/>
    <w:rsid w:val="00355D29"/>
    <w:rsid w:val="00362546"/>
    <w:rsid w:val="00364C9A"/>
    <w:rsid w:val="0036580E"/>
    <w:rsid w:val="00370438"/>
    <w:rsid w:val="00377FCD"/>
    <w:rsid w:val="00382D69"/>
    <w:rsid w:val="00383BBD"/>
    <w:rsid w:val="003846AB"/>
    <w:rsid w:val="003873E8"/>
    <w:rsid w:val="003C345F"/>
    <w:rsid w:val="003E1104"/>
    <w:rsid w:val="003E756D"/>
    <w:rsid w:val="003F7149"/>
    <w:rsid w:val="004228CA"/>
    <w:rsid w:val="00425CCE"/>
    <w:rsid w:val="00434073"/>
    <w:rsid w:val="004438BE"/>
    <w:rsid w:val="0044737C"/>
    <w:rsid w:val="00450AB1"/>
    <w:rsid w:val="0045336C"/>
    <w:rsid w:val="00466507"/>
    <w:rsid w:val="004674EF"/>
    <w:rsid w:val="00483D43"/>
    <w:rsid w:val="004869EF"/>
    <w:rsid w:val="00495E81"/>
    <w:rsid w:val="004B591E"/>
    <w:rsid w:val="004B667D"/>
    <w:rsid w:val="004C3D49"/>
    <w:rsid w:val="004E7DD6"/>
    <w:rsid w:val="004F08F4"/>
    <w:rsid w:val="004F12EA"/>
    <w:rsid w:val="00513920"/>
    <w:rsid w:val="00516D9B"/>
    <w:rsid w:val="00517891"/>
    <w:rsid w:val="005474A6"/>
    <w:rsid w:val="0055767C"/>
    <w:rsid w:val="005660FB"/>
    <w:rsid w:val="00571F05"/>
    <w:rsid w:val="005743B2"/>
    <w:rsid w:val="00574CDB"/>
    <w:rsid w:val="00576131"/>
    <w:rsid w:val="00582DBB"/>
    <w:rsid w:val="00591EE8"/>
    <w:rsid w:val="00593CA9"/>
    <w:rsid w:val="00597CCD"/>
    <w:rsid w:val="005B2C8E"/>
    <w:rsid w:val="005B306D"/>
    <w:rsid w:val="005B4009"/>
    <w:rsid w:val="005B6B40"/>
    <w:rsid w:val="005B7532"/>
    <w:rsid w:val="005B77D6"/>
    <w:rsid w:val="005C0367"/>
    <w:rsid w:val="005C4D55"/>
    <w:rsid w:val="005C6EA4"/>
    <w:rsid w:val="005E06F5"/>
    <w:rsid w:val="005F62CD"/>
    <w:rsid w:val="00605DBF"/>
    <w:rsid w:val="00610664"/>
    <w:rsid w:val="006127D6"/>
    <w:rsid w:val="00621B27"/>
    <w:rsid w:val="00623CE7"/>
    <w:rsid w:val="00625BED"/>
    <w:rsid w:val="00635808"/>
    <w:rsid w:val="00636D94"/>
    <w:rsid w:val="0065598D"/>
    <w:rsid w:val="00656C74"/>
    <w:rsid w:val="00656E09"/>
    <w:rsid w:val="006572C5"/>
    <w:rsid w:val="00671F3F"/>
    <w:rsid w:val="006730F0"/>
    <w:rsid w:val="006A40B0"/>
    <w:rsid w:val="006A41E1"/>
    <w:rsid w:val="006B2188"/>
    <w:rsid w:val="006C0B2F"/>
    <w:rsid w:val="006D274C"/>
    <w:rsid w:val="006E0C72"/>
    <w:rsid w:val="006F26F9"/>
    <w:rsid w:val="006F29CB"/>
    <w:rsid w:val="00701786"/>
    <w:rsid w:val="007129E4"/>
    <w:rsid w:val="00726591"/>
    <w:rsid w:val="00727EDD"/>
    <w:rsid w:val="0073496B"/>
    <w:rsid w:val="00741CE4"/>
    <w:rsid w:val="007523BA"/>
    <w:rsid w:val="00753E71"/>
    <w:rsid w:val="00753F03"/>
    <w:rsid w:val="00757386"/>
    <w:rsid w:val="0076377E"/>
    <w:rsid w:val="007822B3"/>
    <w:rsid w:val="0079698C"/>
    <w:rsid w:val="007B628F"/>
    <w:rsid w:val="007B6D9E"/>
    <w:rsid w:val="007E1AA0"/>
    <w:rsid w:val="007E4A9C"/>
    <w:rsid w:val="007E563F"/>
    <w:rsid w:val="007E5865"/>
    <w:rsid w:val="00803646"/>
    <w:rsid w:val="00815D27"/>
    <w:rsid w:val="00824F3A"/>
    <w:rsid w:val="0083045D"/>
    <w:rsid w:val="008311E4"/>
    <w:rsid w:val="008407E5"/>
    <w:rsid w:val="00844DCF"/>
    <w:rsid w:val="00851FED"/>
    <w:rsid w:val="00860BE1"/>
    <w:rsid w:val="00861430"/>
    <w:rsid w:val="00862AE1"/>
    <w:rsid w:val="00874439"/>
    <w:rsid w:val="008774E1"/>
    <w:rsid w:val="00881DC6"/>
    <w:rsid w:val="00883A6A"/>
    <w:rsid w:val="008B0587"/>
    <w:rsid w:val="008B3740"/>
    <w:rsid w:val="008C2DCB"/>
    <w:rsid w:val="008D79A1"/>
    <w:rsid w:val="008E28D2"/>
    <w:rsid w:val="00903769"/>
    <w:rsid w:val="009043AA"/>
    <w:rsid w:val="00910485"/>
    <w:rsid w:val="009177D6"/>
    <w:rsid w:val="00927B52"/>
    <w:rsid w:val="0094698E"/>
    <w:rsid w:val="009617E6"/>
    <w:rsid w:val="0096335D"/>
    <w:rsid w:val="00972FD2"/>
    <w:rsid w:val="00981AA3"/>
    <w:rsid w:val="009B0A04"/>
    <w:rsid w:val="009F6C79"/>
    <w:rsid w:val="00A33376"/>
    <w:rsid w:val="00A336F0"/>
    <w:rsid w:val="00A353F5"/>
    <w:rsid w:val="00A60844"/>
    <w:rsid w:val="00A613E3"/>
    <w:rsid w:val="00A6382D"/>
    <w:rsid w:val="00A648D2"/>
    <w:rsid w:val="00A7012D"/>
    <w:rsid w:val="00A7582A"/>
    <w:rsid w:val="00A76BB6"/>
    <w:rsid w:val="00A96F44"/>
    <w:rsid w:val="00AA3657"/>
    <w:rsid w:val="00AA3875"/>
    <w:rsid w:val="00AC5C26"/>
    <w:rsid w:val="00AD037D"/>
    <w:rsid w:val="00AD11F3"/>
    <w:rsid w:val="00AD15BC"/>
    <w:rsid w:val="00AD6BA2"/>
    <w:rsid w:val="00AE580B"/>
    <w:rsid w:val="00AE724A"/>
    <w:rsid w:val="00AF7243"/>
    <w:rsid w:val="00B264F5"/>
    <w:rsid w:val="00B36B40"/>
    <w:rsid w:val="00B40A81"/>
    <w:rsid w:val="00B41C04"/>
    <w:rsid w:val="00B42AA9"/>
    <w:rsid w:val="00B50EE4"/>
    <w:rsid w:val="00B60F7F"/>
    <w:rsid w:val="00B72D89"/>
    <w:rsid w:val="00BA6744"/>
    <w:rsid w:val="00BB2215"/>
    <w:rsid w:val="00BB4DF5"/>
    <w:rsid w:val="00BD6AE6"/>
    <w:rsid w:val="00BE262A"/>
    <w:rsid w:val="00BE278C"/>
    <w:rsid w:val="00BE293C"/>
    <w:rsid w:val="00BF47EF"/>
    <w:rsid w:val="00C06633"/>
    <w:rsid w:val="00C178A9"/>
    <w:rsid w:val="00C21FD6"/>
    <w:rsid w:val="00C25225"/>
    <w:rsid w:val="00C275EF"/>
    <w:rsid w:val="00C31EAB"/>
    <w:rsid w:val="00C35B31"/>
    <w:rsid w:val="00C36DFB"/>
    <w:rsid w:val="00C46D3F"/>
    <w:rsid w:val="00C52C59"/>
    <w:rsid w:val="00C556F5"/>
    <w:rsid w:val="00C60C9A"/>
    <w:rsid w:val="00C671EC"/>
    <w:rsid w:val="00C92C41"/>
    <w:rsid w:val="00CA4A1A"/>
    <w:rsid w:val="00CA73DF"/>
    <w:rsid w:val="00CA7488"/>
    <w:rsid w:val="00CB370A"/>
    <w:rsid w:val="00CC2C3C"/>
    <w:rsid w:val="00CC750C"/>
    <w:rsid w:val="00CD1FFD"/>
    <w:rsid w:val="00CD6253"/>
    <w:rsid w:val="00CE6B2B"/>
    <w:rsid w:val="00D03C1F"/>
    <w:rsid w:val="00D04C1D"/>
    <w:rsid w:val="00D073D2"/>
    <w:rsid w:val="00D21212"/>
    <w:rsid w:val="00D337A1"/>
    <w:rsid w:val="00D43BD4"/>
    <w:rsid w:val="00D5038D"/>
    <w:rsid w:val="00D572FD"/>
    <w:rsid w:val="00D60419"/>
    <w:rsid w:val="00D63EBC"/>
    <w:rsid w:val="00D71FE9"/>
    <w:rsid w:val="00D766E3"/>
    <w:rsid w:val="00D858FE"/>
    <w:rsid w:val="00DA23E2"/>
    <w:rsid w:val="00DA4DA1"/>
    <w:rsid w:val="00DE0D07"/>
    <w:rsid w:val="00DE2421"/>
    <w:rsid w:val="00DF2924"/>
    <w:rsid w:val="00E2387E"/>
    <w:rsid w:val="00E2776D"/>
    <w:rsid w:val="00E44DF6"/>
    <w:rsid w:val="00E456C6"/>
    <w:rsid w:val="00E47072"/>
    <w:rsid w:val="00E50172"/>
    <w:rsid w:val="00E5565C"/>
    <w:rsid w:val="00E60513"/>
    <w:rsid w:val="00E62325"/>
    <w:rsid w:val="00E664F0"/>
    <w:rsid w:val="00E6767E"/>
    <w:rsid w:val="00E74E7E"/>
    <w:rsid w:val="00E85525"/>
    <w:rsid w:val="00E8682B"/>
    <w:rsid w:val="00E93718"/>
    <w:rsid w:val="00EB5F90"/>
    <w:rsid w:val="00EE5C59"/>
    <w:rsid w:val="00EF4213"/>
    <w:rsid w:val="00F065DC"/>
    <w:rsid w:val="00F21346"/>
    <w:rsid w:val="00F23C2F"/>
    <w:rsid w:val="00F246BB"/>
    <w:rsid w:val="00F33E66"/>
    <w:rsid w:val="00F34F75"/>
    <w:rsid w:val="00F37BE3"/>
    <w:rsid w:val="00F40CB6"/>
    <w:rsid w:val="00F42A8E"/>
    <w:rsid w:val="00F60C08"/>
    <w:rsid w:val="00F85377"/>
    <w:rsid w:val="00F90457"/>
    <w:rsid w:val="00F97706"/>
    <w:rsid w:val="00FA6200"/>
    <w:rsid w:val="00FB5A89"/>
    <w:rsid w:val="00FC30FE"/>
    <w:rsid w:val="00FC6BA0"/>
    <w:rsid w:val="00FD4FE5"/>
    <w:rsid w:val="00FE7FF6"/>
    <w:rsid w:val="01885910"/>
    <w:rsid w:val="020D728E"/>
    <w:rsid w:val="026B598E"/>
    <w:rsid w:val="02E76B51"/>
    <w:rsid w:val="034461F1"/>
    <w:rsid w:val="03D567D9"/>
    <w:rsid w:val="03EF7383"/>
    <w:rsid w:val="048D67D0"/>
    <w:rsid w:val="04B32944"/>
    <w:rsid w:val="05353F9B"/>
    <w:rsid w:val="058852A2"/>
    <w:rsid w:val="05ED214B"/>
    <w:rsid w:val="062F190E"/>
    <w:rsid w:val="06C9175A"/>
    <w:rsid w:val="07215F41"/>
    <w:rsid w:val="074542FB"/>
    <w:rsid w:val="07486704"/>
    <w:rsid w:val="07793F97"/>
    <w:rsid w:val="077B05B5"/>
    <w:rsid w:val="07CD605A"/>
    <w:rsid w:val="089C542D"/>
    <w:rsid w:val="08E510A5"/>
    <w:rsid w:val="08EB5AD8"/>
    <w:rsid w:val="08FC477B"/>
    <w:rsid w:val="09501DD2"/>
    <w:rsid w:val="098D7653"/>
    <w:rsid w:val="09E12241"/>
    <w:rsid w:val="0A087F03"/>
    <w:rsid w:val="0ACF1ECA"/>
    <w:rsid w:val="0AD040A8"/>
    <w:rsid w:val="0AE443EE"/>
    <w:rsid w:val="0AE92A74"/>
    <w:rsid w:val="0B7D54E6"/>
    <w:rsid w:val="0BB27F3E"/>
    <w:rsid w:val="0BC414DD"/>
    <w:rsid w:val="0C273780"/>
    <w:rsid w:val="0C5A67FA"/>
    <w:rsid w:val="0C5B32EF"/>
    <w:rsid w:val="0CA358A7"/>
    <w:rsid w:val="0CCA20F7"/>
    <w:rsid w:val="0CF62B54"/>
    <w:rsid w:val="0CFF6748"/>
    <w:rsid w:val="0D4F6A66"/>
    <w:rsid w:val="0D633FB2"/>
    <w:rsid w:val="0DB12588"/>
    <w:rsid w:val="0DD71BA4"/>
    <w:rsid w:val="0DEE7869"/>
    <w:rsid w:val="0DFC4600"/>
    <w:rsid w:val="0E4A03E4"/>
    <w:rsid w:val="0E8E5FBB"/>
    <w:rsid w:val="0EC261F4"/>
    <w:rsid w:val="0F6E6A60"/>
    <w:rsid w:val="0F927F1A"/>
    <w:rsid w:val="0F9A23DC"/>
    <w:rsid w:val="0FFC1285"/>
    <w:rsid w:val="105F66D7"/>
    <w:rsid w:val="10F4157F"/>
    <w:rsid w:val="10F70AE6"/>
    <w:rsid w:val="11440BE5"/>
    <w:rsid w:val="11776B7A"/>
    <w:rsid w:val="11C720B8"/>
    <w:rsid w:val="11F870A7"/>
    <w:rsid w:val="12137156"/>
    <w:rsid w:val="123910F2"/>
    <w:rsid w:val="129B3635"/>
    <w:rsid w:val="12A5240D"/>
    <w:rsid w:val="12F734E0"/>
    <w:rsid w:val="13202EE3"/>
    <w:rsid w:val="136B508A"/>
    <w:rsid w:val="13714672"/>
    <w:rsid w:val="13795301"/>
    <w:rsid w:val="13A5725B"/>
    <w:rsid w:val="13CA3A66"/>
    <w:rsid w:val="14977CD7"/>
    <w:rsid w:val="14A26068"/>
    <w:rsid w:val="14F17522"/>
    <w:rsid w:val="15022126"/>
    <w:rsid w:val="15571668"/>
    <w:rsid w:val="157F6B8C"/>
    <w:rsid w:val="15C9134E"/>
    <w:rsid w:val="15EF6E79"/>
    <w:rsid w:val="163E02F1"/>
    <w:rsid w:val="16946498"/>
    <w:rsid w:val="16AF4AC3"/>
    <w:rsid w:val="16FC6E8D"/>
    <w:rsid w:val="17EE406C"/>
    <w:rsid w:val="17F005DB"/>
    <w:rsid w:val="17FA3664"/>
    <w:rsid w:val="17FB3EC3"/>
    <w:rsid w:val="188F53B4"/>
    <w:rsid w:val="18A00924"/>
    <w:rsid w:val="18B65FCE"/>
    <w:rsid w:val="18CF1023"/>
    <w:rsid w:val="18EF305C"/>
    <w:rsid w:val="18F50B80"/>
    <w:rsid w:val="19E4688F"/>
    <w:rsid w:val="19F23981"/>
    <w:rsid w:val="1A0119B8"/>
    <w:rsid w:val="1A9950C7"/>
    <w:rsid w:val="1AA91C9F"/>
    <w:rsid w:val="1AE167C1"/>
    <w:rsid w:val="1AE336C2"/>
    <w:rsid w:val="1B3F6E41"/>
    <w:rsid w:val="1BF82686"/>
    <w:rsid w:val="1BFB1214"/>
    <w:rsid w:val="1C0664B5"/>
    <w:rsid w:val="1C2E5DB6"/>
    <w:rsid w:val="1CA05783"/>
    <w:rsid w:val="1CBC50B4"/>
    <w:rsid w:val="1DBA51AF"/>
    <w:rsid w:val="1F4D40E8"/>
    <w:rsid w:val="1FEC4000"/>
    <w:rsid w:val="20707235"/>
    <w:rsid w:val="20A63420"/>
    <w:rsid w:val="20FF3AAE"/>
    <w:rsid w:val="216828C0"/>
    <w:rsid w:val="22C64AAD"/>
    <w:rsid w:val="22C9466B"/>
    <w:rsid w:val="23543F83"/>
    <w:rsid w:val="23B74E29"/>
    <w:rsid w:val="23E143B5"/>
    <w:rsid w:val="24C31F71"/>
    <w:rsid w:val="25001A40"/>
    <w:rsid w:val="25156162"/>
    <w:rsid w:val="25824598"/>
    <w:rsid w:val="25A45DD1"/>
    <w:rsid w:val="25B61CC9"/>
    <w:rsid w:val="26DD0E03"/>
    <w:rsid w:val="26FB292B"/>
    <w:rsid w:val="27B81FB9"/>
    <w:rsid w:val="27CC2E58"/>
    <w:rsid w:val="286533D6"/>
    <w:rsid w:val="286D07E3"/>
    <w:rsid w:val="28DE781D"/>
    <w:rsid w:val="2946237B"/>
    <w:rsid w:val="2A2B3C3C"/>
    <w:rsid w:val="2A365252"/>
    <w:rsid w:val="2A4B5294"/>
    <w:rsid w:val="2A8133E0"/>
    <w:rsid w:val="2AF35C03"/>
    <w:rsid w:val="2BC809A8"/>
    <w:rsid w:val="2C24526A"/>
    <w:rsid w:val="2C6F3112"/>
    <w:rsid w:val="2CA433CB"/>
    <w:rsid w:val="2CB771EA"/>
    <w:rsid w:val="2CB95B0E"/>
    <w:rsid w:val="2CCC0D0C"/>
    <w:rsid w:val="2CEF21C5"/>
    <w:rsid w:val="2D0C1AF6"/>
    <w:rsid w:val="2DFB2CA7"/>
    <w:rsid w:val="2E3A11C3"/>
    <w:rsid w:val="2E54612A"/>
    <w:rsid w:val="2E98032D"/>
    <w:rsid w:val="2EB21AEE"/>
    <w:rsid w:val="2EB86E86"/>
    <w:rsid w:val="2ECB4055"/>
    <w:rsid w:val="2F2822EB"/>
    <w:rsid w:val="2F401A95"/>
    <w:rsid w:val="2F956FA1"/>
    <w:rsid w:val="30103067"/>
    <w:rsid w:val="306D5463"/>
    <w:rsid w:val="310B50D5"/>
    <w:rsid w:val="31140ADB"/>
    <w:rsid w:val="31331EC5"/>
    <w:rsid w:val="314B2DEF"/>
    <w:rsid w:val="323C398E"/>
    <w:rsid w:val="32602ADA"/>
    <w:rsid w:val="327A7C5E"/>
    <w:rsid w:val="328819EC"/>
    <w:rsid w:val="32E751C5"/>
    <w:rsid w:val="32F47928"/>
    <w:rsid w:val="332A457E"/>
    <w:rsid w:val="3364565D"/>
    <w:rsid w:val="33866787"/>
    <w:rsid w:val="33DA309D"/>
    <w:rsid w:val="33FB3430"/>
    <w:rsid w:val="34AC3323"/>
    <w:rsid w:val="35387501"/>
    <w:rsid w:val="360F5582"/>
    <w:rsid w:val="36362EFD"/>
    <w:rsid w:val="366C1AE0"/>
    <w:rsid w:val="37071057"/>
    <w:rsid w:val="37381826"/>
    <w:rsid w:val="378C2A5B"/>
    <w:rsid w:val="383F5328"/>
    <w:rsid w:val="387F46BF"/>
    <w:rsid w:val="38D32B9C"/>
    <w:rsid w:val="393E44F9"/>
    <w:rsid w:val="3B0F3E5D"/>
    <w:rsid w:val="3B3E3C3F"/>
    <w:rsid w:val="3B7C08AC"/>
    <w:rsid w:val="3BA62369"/>
    <w:rsid w:val="3BAE4643"/>
    <w:rsid w:val="3C1C4949"/>
    <w:rsid w:val="3C225536"/>
    <w:rsid w:val="3C2C2D08"/>
    <w:rsid w:val="3C8019FE"/>
    <w:rsid w:val="3C841D58"/>
    <w:rsid w:val="3D4E03E8"/>
    <w:rsid w:val="3D844B00"/>
    <w:rsid w:val="3D851DB1"/>
    <w:rsid w:val="3DCD2FF3"/>
    <w:rsid w:val="3DE22F69"/>
    <w:rsid w:val="3E460D11"/>
    <w:rsid w:val="3E585156"/>
    <w:rsid w:val="3F477442"/>
    <w:rsid w:val="3F6506EB"/>
    <w:rsid w:val="405A3622"/>
    <w:rsid w:val="40FB03A7"/>
    <w:rsid w:val="4106153C"/>
    <w:rsid w:val="410B4575"/>
    <w:rsid w:val="41634F0C"/>
    <w:rsid w:val="41707B1B"/>
    <w:rsid w:val="41894720"/>
    <w:rsid w:val="41A75207"/>
    <w:rsid w:val="422C1FE7"/>
    <w:rsid w:val="42382BB3"/>
    <w:rsid w:val="42BA7C89"/>
    <w:rsid w:val="42C91242"/>
    <w:rsid w:val="42E84663"/>
    <w:rsid w:val="43041002"/>
    <w:rsid w:val="433B7683"/>
    <w:rsid w:val="43A84F2A"/>
    <w:rsid w:val="43B426FB"/>
    <w:rsid w:val="43D5464D"/>
    <w:rsid w:val="444D40CF"/>
    <w:rsid w:val="445B3F43"/>
    <w:rsid w:val="44B23E4D"/>
    <w:rsid w:val="4536001D"/>
    <w:rsid w:val="45ED2E91"/>
    <w:rsid w:val="45F76478"/>
    <w:rsid w:val="46117817"/>
    <w:rsid w:val="46125401"/>
    <w:rsid w:val="462D432D"/>
    <w:rsid w:val="466B6D95"/>
    <w:rsid w:val="466C49A8"/>
    <w:rsid w:val="467B4D3C"/>
    <w:rsid w:val="468034B7"/>
    <w:rsid w:val="46862DBF"/>
    <w:rsid w:val="469964EE"/>
    <w:rsid w:val="47482BDC"/>
    <w:rsid w:val="47587D04"/>
    <w:rsid w:val="483031FD"/>
    <w:rsid w:val="48A96A2D"/>
    <w:rsid w:val="48BA78DE"/>
    <w:rsid w:val="4922188C"/>
    <w:rsid w:val="493C6BB3"/>
    <w:rsid w:val="495425ED"/>
    <w:rsid w:val="497D0CA1"/>
    <w:rsid w:val="49811800"/>
    <w:rsid w:val="49C22DC3"/>
    <w:rsid w:val="4A7C6937"/>
    <w:rsid w:val="4A81724A"/>
    <w:rsid w:val="4C9742D0"/>
    <w:rsid w:val="4C9C7C83"/>
    <w:rsid w:val="4D5634F0"/>
    <w:rsid w:val="4E0C3F18"/>
    <w:rsid w:val="4E77131C"/>
    <w:rsid w:val="4E7E09D4"/>
    <w:rsid w:val="4E8B5AEB"/>
    <w:rsid w:val="4EE30AA6"/>
    <w:rsid w:val="4EFE25A7"/>
    <w:rsid w:val="4F040275"/>
    <w:rsid w:val="4F070210"/>
    <w:rsid w:val="4F2A2171"/>
    <w:rsid w:val="4FE2609D"/>
    <w:rsid w:val="502E0B24"/>
    <w:rsid w:val="503275FE"/>
    <w:rsid w:val="50F76C55"/>
    <w:rsid w:val="51000A73"/>
    <w:rsid w:val="52114ED5"/>
    <w:rsid w:val="5277358C"/>
    <w:rsid w:val="52D96467"/>
    <w:rsid w:val="534717B0"/>
    <w:rsid w:val="534F6117"/>
    <w:rsid w:val="537E6888"/>
    <w:rsid w:val="53E959AC"/>
    <w:rsid w:val="54466800"/>
    <w:rsid w:val="547748A2"/>
    <w:rsid w:val="548A4420"/>
    <w:rsid w:val="54906A08"/>
    <w:rsid w:val="54E41652"/>
    <w:rsid w:val="55106ECC"/>
    <w:rsid w:val="554D1082"/>
    <w:rsid w:val="55671C2C"/>
    <w:rsid w:val="558F0510"/>
    <w:rsid w:val="565009E3"/>
    <w:rsid w:val="56D57C04"/>
    <w:rsid w:val="57027119"/>
    <w:rsid w:val="5767013B"/>
    <w:rsid w:val="578E52A7"/>
    <w:rsid w:val="579569BD"/>
    <w:rsid w:val="57F34C32"/>
    <w:rsid w:val="585F717B"/>
    <w:rsid w:val="5891762E"/>
    <w:rsid w:val="58B62318"/>
    <w:rsid w:val="58E96176"/>
    <w:rsid w:val="58EE119C"/>
    <w:rsid w:val="59287D34"/>
    <w:rsid w:val="59B30F36"/>
    <w:rsid w:val="5A7F7D46"/>
    <w:rsid w:val="5A9F20B5"/>
    <w:rsid w:val="5AAC4200"/>
    <w:rsid w:val="5AB3215E"/>
    <w:rsid w:val="5B1D0508"/>
    <w:rsid w:val="5BA14F7E"/>
    <w:rsid w:val="5BA17F5C"/>
    <w:rsid w:val="5C034FB3"/>
    <w:rsid w:val="5C2D3BC9"/>
    <w:rsid w:val="5D021169"/>
    <w:rsid w:val="5E03344D"/>
    <w:rsid w:val="5E4701EC"/>
    <w:rsid w:val="5E756C2D"/>
    <w:rsid w:val="5FCD516D"/>
    <w:rsid w:val="607021B4"/>
    <w:rsid w:val="60B73DBB"/>
    <w:rsid w:val="60C64DEE"/>
    <w:rsid w:val="60CE35CE"/>
    <w:rsid w:val="60DD044F"/>
    <w:rsid w:val="60FD5DD8"/>
    <w:rsid w:val="617D6DD1"/>
    <w:rsid w:val="61E229F4"/>
    <w:rsid w:val="61E445C4"/>
    <w:rsid w:val="624F632A"/>
    <w:rsid w:val="62A847ED"/>
    <w:rsid w:val="62CD5ED6"/>
    <w:rsid w:val="62E13D29"/>
    <w:rsid w:val="62E70A4E"/>
    <w:rsid w:val="63263E36"/>
    <w:rsid w:val="64422C8C"/>
    <w:rsid w:val="646C2822"/>
    <w:rsid w:val="64725FD6"/>
    <w:rsid w:val="64DE0B89"/>
    <w:rsid w:val="65155C14"/>
    <w:rsid w:val="651567C2"/>
    <w:rsid w:val="65BC0089"/>
    <w:rsid w:val="65C37F02"/>
    <w:rsid w:val="664C16FB"/>
    <w:rsid w:val="664D45E3"/>
    <w:rsid w:val="668263E3"/>
    <w:rsid w:val="668A35A0"/>
    <w:rsid w:val="668C53CC"/>
    <w:rsid w:val="66E01460"/>
    <w:rsid w:val="66F44E57"/>
    <w:rsid w:val="670F5445"/>
    <w:rsid w:val="67D7297B"/>
    <w:rsid w:val="67DB63DB"/>
    <w:rsid w:val="68AF1BCF"/>
    <w:rsid w:val="68D2180A"/>
    <w:rsid w:val="68E07810"/>
    <w:rsid w:val="69187F79"/>
    <w:rsid w:val="69954E4D"/>
    <w:rsid w:val="69FE75B0"/>
    <w:rsid w:val="6AD45CD0"/>
    <w:rsid w:val="6AEA23BB"/>
    <w:rsid w:val="6B113937"/>
    <w:rsid w:val="6B763FAB"/>
    <w:rsid w:val="6BF97E34"/>
    <w:rsid w:val="6C0960CD"/>
    <w:rsid w:val="6C774481"/>
    <w:rsid w:val="6CEF4145"/>
    <w:rsid w:val="6D8D7C91"/>
    <w:rsid w:val="6DD97721"/>
    <w:rsid w:val="6DFE4032"/>
    <w:rsid w:val="6E195E6D"/>
    <w:rsid w:val="6E247FDA"/>
    <w:rsid w:val="6E2A49A5"/>
    <w:rsid w:val="6E7C5B52"/>
    <w:rsid w:val="6EC72407"/>
    <w:rsid w:val="6EF40ADC"/>
    <w:rsid w:val="6FA407EC"/>
    <w:rsid w:val="700B1523"/>
    <w:rsid w:val="70767EB4"/>
    <w:rsid w:val="708A7CC1"/>
    <w:rsid w:val="708A7E30"/>
    <w:rsid w:val="70AE745E"/>
    <w:rsid w:val="70F729E3"/>
    <w:rsid w:val="70FF3DB3"/>
    <w:rsid w:val="7106653B"/>
    <w:rsid w:val="711962FF"/>
    <w:rsid w:val="716A1B41"/>
    <w:rsid w:val="71787AB9"/>
    <w:rsid w:val="7179553A"/>
    <w:rsid w:val="71AD6C8E"/>
    <w:rsid w:val="725F62B0"/>
    <w:rsid w:val="7274257B"/>
    <w:rsid w:val="72EA6696"/>
    <w:rsid w:val="730B173A"/>
    <w:rsid w:val="73D8631E"/>
    <w:rsid w:val="73F14E43"/>
    <w:rsid w:val="751235A9"/>
    <w:rsid w:val="751B1CE2"/>
    <w:rsid w:val="754D0655"/>
    <w:rsid w:val="75AD2F28"/>
    <w:rsid w:val="75BA0BA6"/>
    <w:rsid w:val="75EC2506"/>
    <w:rsid w:val="75FF6C7D"/>
    <w:rsid w:val="76074892"/>
    <w:rsid w:val="76240896"/>
    <w:rsid w:val="765B4843"/>
    <w:rsid w:val="767F1A43"/>
    <w:rsid w:val="76841657"/>
    <w:rsid w:val="76E10A62"/>
    <w:rsid w:val="77CA0A6E"/>
    <w:rsid w:val="782643AF"/>
    <w:rsid w:val="7863071E"/>
    <w:rsid w:val="789F43CD"/>
    <w:rsid w:val="78D66109"/>
    <w:rsid w:val="7A3F6B68"/>
    <w:rsid w:val="7ABF44F8"/>
    <w:rsid w:val="7B7C1EA8"/>
    <w:rsid w:val="7BCD3826"/>
    <w:rsid w:val="7BE2764E"/>
    <w:rsid w:val="7C1C2CDF"/>
    <w:rsid w:val="7CFD109F"/>
    <w:rsid w:val="7D6F00D9"/>
    <w:rsid w:val="7E5725D5"/>
    <w:rsid w:val="7EA50156"/>
    <w:rsid w:val="7EE943E7"/>
    <w:rsid w:val="7F085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9"/>
    <w:pPr>
      <w:widowControl/>
      <w:jc w:val="left"/>
      <w:outlineLvl w:val="2"/>
    </w:pPr>
    <w:rPr>
      <w:rFonts w:ascii="方正行楷简体" w:hAnsi="微软雅黑" w:eastAsia="方正行楷简体"/>
      <w:color w:val="333333"/>
      <w:sz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caption"/>
    <w:basedOn w:val="1"/>
    <w:next w:val="1"/>
    <w:unhideWhenUsed/>
    <w:qFormat/>
    <w:uiPriority w:val="35"/>
    <w:rPr>
      <w:rFonts w:ascii="Cambria" w:hAnsi="Cambria" w:eastAsia="黑体"/>
      <w:sz w:val="20"/>
    </w:rPr>
  </w:style>
  <w:style w:type="paragraph" w:styleId="6">
    <w:name w:val="Body Text Indent"/>
    <w:basedOn w:val="1"/>
    <w:unhideWhenUsed/>
    <w:qFormat/>
    <w:uiPriority w:val="99"/>
    <w:pPr>
      <w:spacing w:line="360" w:lineRule="auto"/>
      <w:ind w:firstLine="640" w:firstLineChars="200"/>
    </w:pPr>
    <w:rPr>
      <w:rFonts w:eastAsia="仿宋_GB2312"/>
      <w:sz w:val="32"/>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30"/>
    <w:unhideWhenUsed/>
    <w:qFormat/>
    <w:uiPriority w:val="99"/>
    <w:rPr>
      <w:sz w:val="18"/>
      <w:szCs w:val="18"/>
    </w:rPr>
  </w:style>
  <w:style w:type="paragraph" w:styleId="11">
    <w:name w:val="footer"/>
    <w:basedOn w:val="1"/>
    <w:link w:val="24"/>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toc 6"/>
    <w:basedOn w:val="1"/>
    <w:next w:val="1"/>
    <w:unhideWhenUsed/>
    <w:qFormat/>
    <w:uiPriority w:val="39"/>
    <w:pPr>
      <w:ind w:left="2100" w:leftChars="1000"/>
    </w:pPr>
  </w:style>
  <w:style w:type="paragraph" w:styleId="16">
    <w:name w:val="toc 2"/>
    <w:basedOn w:val="1"/>
    <w:next w:val="1"/>
    <w:unhideWhenUsed/>
    <w:qFormat/>
    <w:uiPriority w:val="39"/>
    <w:pPr>
      <w:ind w:left="420" w:leftChars="200"/>
    </w:pPr>
  </w:style>
  <w:style w:type="paragraph" w:styleId="17">
    <w:name w:val="toc 9"/>
    <w:basedOn w:val="1"/>
    <w:next w:val="1"/>
    <w:unhideWhenUsed/>
    <w:qFormat/>
    <w:uiPriority w:val="39"/>
    <w:pPr>
      <w:ind w:left="3360" w:leftChars="16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1">
    <w:name w:val="Strong"/>
    <w:qFormat/>
    <w:uiPriority w:val="0"/>
    <w:rPr>
      <w:rFonts w:ascii="Times New Roman" w:hAnsi="Times New Roman" w:eastAsia="宋体" w:cs="Times New Roman"/>
      <w:b/>
      <w:bCs/>
    </w:rPr>
  </w:style>
  <w:style w:type="character" w:styleId="22">
    <w:name w:val="FollowedHyperlink"/>
    <w:unhideWhenUsed/>
    <w:qFormat/>
    <w:uiPriority w:val="99"/>
    <w:rPr>
      <w:rFonts w:ascii="Times New Roman" w:hAnsi="Times New Roman" w:eastAsia="宋体" w:cs="Times New Roman"/>
      <w:color w:val="444444"/>
      <w:u w:val="none"/>
    </w:rPr>
  </w:style>
  <w:style w:type="character" w:styleId="23">
    <w:name w:val="Hyperlink"/>
    <w:unhideWhenUsed/>
    <w:qFormat/>
    <w:uiPriority w:val="99"/>
    <w:rPr>
      <w:rFonts w:ascii="Times New Roman" w:hAnsi="Times New Roman" w:eastAsia="宋体" w:cs="Times New Roman"/>
      <w:color w:val="444444"/>
      <w:u w:val="none"/>
    </w:rPr>
  </w:style>
  <w:style w:type="character" w:customStyle="1" w:styleId="24">
    <w:name w:val="页脚 字符"/>
    <w:link w:val="11"/>
    <w:qFormat/>
    <w:uiPriority w:val="0"/>
    <w:rPr>
      <w:rFonts w:ascii="Times New Roman" w:hAnsi="Times New Roman" w:eastAsia="宋体" w:cs="Times New Roman"/>
      <w:kern w:val="2"/>
      <w:sz w:val="18"/>
    </w:rPr>
  </w:style>
  <w:style w:type="character" w:customStyle="1" w:styleId="25">
    <w:name w:val="font01"/>
    <w:qFormat/>
    <w:uiPriority w:val="0"/>
    <w:rPr>
      <w:rFonts w:hint="eastAsia" w:ascii="宋体" w:hAnsi="宋体" w:eastAsia="宋体" w:cs="宋体"/>
      <w:color w:val="FFFF00"/>
      <w:sz w:val="32"/>
      <w:szCs w:val="32"/>
    </w:rPr>
  </w:style>
  <w:style w:type="character" w:customStyle="1" w:styleId="26">
    <w:name w:val="font21"/>
    <w:qFormat/>
    <w:uiPriority w:val="0"/>
    <w:rPr>
      <w:rFonts w:hint="eastAsia" w:ascii="宋体" w:hAnsi="宋体" w:eastAsia="宋体" w:cs="宋体"/>
      <w:color w:val="FFFF00"/>
      <w:sz w:val="18"/>
      <w:szCs w:val="18"/>
    </w:rPr>
  </w:style>
  <w:style w:type="character" w:customStyle="1" w:styleId="27">
    <w:name w:val="font11"/>
    <w:qFormat/>
    <w:uiPriority w:val="0"/>
    <w:rPr>
      <w:rFonts w:ascii="宋体" w:hAnsi="宋体" w:eastAsia="宋体" w:cs="宋体"/>
      <w:color w:val="FFFF00"/>
      <w:sz w:val="18"/>
      <w:szCs w:val="18"/>
      <w:u w:val="none"/>
    </w:rPr>
  </w:style>
  <w:style w:type="paragraph" w:customStyle="1" w:styleId="28">
    <w:name w:val="z-窗体底端1"/>
    <w:basedOn w:val="1"/>
    <w:next w:val="1"/>
    <w:qFormat/>
    <w:uiPriority w:val="0"/>
    <w:pPr>
      <w:pBdr>
        <w:top w:val="single" w:color="auto" w:sz="6" w:space="1"/>
      </w:pBdr>
      <w:jc w:val="center"/>
    </w:pPr>
    <w:rPr>
      <w:rFonts w:ascii="Arial"/>
      <w:sz w:val="16"/>
    </w:rPr>
  </w:style>
  <w:style w:type="paragraph" w:customStyle="1" w:styleId="29">
    <w:name w:val="z-窗体顶端1"/>
    <w:basedOn w:val="1"/>
    <w:next w:val="1"/>
    <w:qFormat/>
    <w:uiPriority w:val="0"/>
    <w:pPr>
      <w:pBdr>
        <w:bottom w:val="single" w:color="auto" w:sz="6" w:space="1"/>
      </w:pBdr>
      <w:jc w:val="center"/>
    </w:pPr>
    <w:rPr>
      <w:rFonts w:ascii="Arial"/>
      <w:sz w:val="16"/>
    </w:rPr>
  </w:style>
  <w:style w:type="character" w:customStyle="1" w:styleId="30">
    <w:name w:val="批注框文本 字符"/>
    <w:link w:val="10"/>
    <w:semiHidden/>
    <w:qFormat/>
    <w:uiPriority w:val="99"/>
    <w:rPr>
      <w:rFonts w:ascii="Times New Roman" w:hAnsi="Times New Roman" w:eastAsia="宋体" w:cs="Times New Roman"/>
      <w:kern w:val="2"/>
      <w:sz w:val="18"/>
      <w:szCs w:val="18"/>
    </w:rPr>
  </w:style>
  <w:style w:type="table" w:customStyle="1" w:styleId="31">
    <w:name w:val="网格表 7 彩色 - 着色 11"/>
    <w:basedOn w:val="19"/>
    <w:qFormat/>
    <w:uiPriority w:val="52"/>
    <w:rPr>
      <w:color w:val="366091"/>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Pr>
    <w:tblStylePr w:type="firstRow">
      <w:rPr>
        <w:b/>
        <w:bCs/>
      </w:rPr>
      <w:tcPr>
        <w:tcBorders>
          <w:top w:val="nil"/>
          <w:left w:val="nil"/>
          <w:bottom w:val="nil"/>
          <w:right w:val="nil"/>
          <w:insideH w:val="nil"/>
          <w:insideV w:val="nil"/>
          <w:tl2br w:val="nil"/>
          <w:tr2bl w:val="nil"/>
        </w:tcBorders>
        <w:shd w:val="clear" w:color="auto" w:fill="FFFFFF"/>
      </w:tcPr>
    </w:tblStylePr>
    <w:tblStylePr w:type="lastRow">
      <w:rPr>
        <w:b/>
        <w:bCs/>
      </w:rPr>
      <w:tcPr>
        <w:tcBorders>
          <w:top w:val="nil"/>
          <w:left w:val="nil"/>
          <w:bottom w:val="nil"/>
          <w:right w:val="nil"/>
          <w:insideH w:val="nil"/>
          <w:insideV w:val="nil"/>
          <w:tl2br w:val="nil"/>
          <w:tr2bl w:val="nil"/>
        </w:tcBorders>
        <w:shd w:val="clear" w:color="auto" w:fill="FFFFFF"/>
      </w:tcPr>
    </w:tblStylePr>
    <w:tblStylePr w:type="firstCol">
      <w:pPr>
        <w:jc w:val="right"/>
      </w:pPr>
      <w:rPr>
        <w:i/>
        <w:iCs/>
      </w:rPr>
      <w:tcPr>
        <w:tcBorders>
          <w:top w:val="nil"/>
          <w:left w:val="nil"/>
          <w:bottom w:val="nil"/>
          <w:right w:val="nil"/>
          <w:insideH w:val="nil"/>
          <w:insideV w:val="nil"/>
          <w:tl2br w:val="nil"/>
          <w:tr2bl w:val="nil"/>
        </w:tcBorders>
        <w:shd w:val="clear" w:color="auto" w:fill="FFFFFF"/>
      </w:tcPr>
    </w:tblStylePr>
    <w:tblStylePr w:type="lastCol">
      <w:rPr>
        <w:i/>
        <w:iCs/>
      </w:rPr>
      <w:tcPr>
        <w:tcBorders>
          <w:top w:val="nil"/>
          <w:left w:val="nil"/>
          <w:bottom w:val="nil"/>
          <w:right w:val="nil"/>
          <w:insideH w:val="nil"/>
          <w:insideV w:val="nil"/>
          <w:tl2br w:val="nil"/>
          <w:tr2bl w:val="nil"/>
        </w:tcBorders>
        <w:shd w:val="clear" w:color="auto" w:fill="FFFFFF"/>
      </w:tcPr>
    </w:tblStylePr>
    <w:tblStylePr w:type="band1Vert">
      <w:tcPr>
        <w:shd w:val="clear" w:color="auto" w:fill="DBE5F1"/>
      </w:tcPr>
    </w:tblStylePr>
    <w:tblStylePr w:type="band1Horz">
      <w:tcPr>
        <w:shd w:val="clear" w:color="auto" w:fill="DBE5F1"/>
      </w:tcPr>
    </w:tblStylePr>
    <w:tblStylePr w:type="neCell">
      <w:tcPr>
        <w:tcBorders>
          <w:top w:val="nil"/>
          <w:left w:val="nil"/>
          <w:bottom w:val="single" w:color="95B3D7" w:sz="4" w:space="0"/>
          <w:right w:val="nil"/>
          <w:insideH w:val="nil"/>
          <w:insideV w:val="nil"/>
          <w:tl2br w:val="nil"/>
          <w:tr2bl w:val="nil"/>
        </w:tcBorders>
      </w:tcPr>
    </w:tblStylePr>
    <w:tblStylePr w:type="nwCell">
      <w:tcPr>
        <w:tcBorders>
          <w:top w:val="nil"/>
          <w:left w:val="nil"/>
          <w:bottom w:val="single" w:color="95B3D7" w:sz="4" w:space="0"/>
          <w:right w:val="nil"/>
          <w:insideH w:val="nil"/>
          <w:insideV w:val="nil"/>
          <w:tl2br w:val="nil"/>
          <w:tr2bl w:val="nil"/>
        </w:tcBorders>
      </w:tcPr>
    </w:tblStylePr>
    <w:tblStylePr w:type="seCell">
      <w:tcPr>
        <w:tcBorders>
          <w:top w:val="single" w:color="95B3D7" w:sz="4" w:space="0"/>
          <w:left w:val="nil"/>
          <w:bottom w:val="nil"/>
          <w:right w:val="nil"/>
          <w:insideH w:val="nil"/>
          <w:insideV w:val="nil"/>
          <w:tl2br w:val="nil"/>
          <w:tr2bl w:val="nil"/>
        </w:tcBorders>
      </w:tcPr>
    </w:tblStylePr>
    <w:tblStylePr w:type="swCell">
      <w:tcPr>
        <w:tcBorders>
          <w:top w:val="single" w:color="95B3D7" w:sz="4" w:space="0"/>
          <w:left w:val="nil"/>
          <w:bottom w:val="nil"/>
          <w:right w:val="nil"/>
          <w:insideH w:val="nil"/>
          <w:insideV w:val="nil"/>
          <w:tl2br w:val="nil"/>
          <w:tr2bl w:val="nil"/>
        </w:tcBorders>
      </w:tcPr>
    </w:tblStylePr>
  </w:style>
  <w:style w:type="character" w:customStyle="1" w:styleId="32">
    <w:name w:val="font31"/>
    <w:basedOn w:val="20"/>
    <w:qFormat/>
    <w:uiPriority w:val="0"/>
    <w:rPr>
      <w:rFonts w:hint="eastAsia" w:ascii="宋体" w:hAnsi="宋体" w:eastAsia="宋体" w:cs="宋体"/>
      <w:color w:val="000000"/>
      <w:sz w:val="22"/>
      <w:szCs w:val="22"/>
      <w:u w:val="none"/>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z-窗体顶端2"/>
    <w:basedOn w:val="1"/>
    <w:next w:val="1"/>
    <w:link w:val="36"/>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36">
    <w:name w:val="z-窗体顶端 Char"/>
    <w:basedOn w:val="20"/>
    <w:link w:val="35"/>
    <w:semiHidden/>
    <w:qFormat/>
    <w:uiPriority w:val="99"/>
    <w:rPr>
      <w:rFonts w:ascii="Arial" w:hAnsi="Arial" w:cs="Arial"/>
      <w:vanish/>
      <w:sz w:val="16"/>
      <w:szCs w:val="16"/>
    </w:rPr>
  </w:style>
  <w:style w:type="paragraph" w:customStyle="1" w:styleId="37">
    <w:name w:val="z-窗体底端2"/>
    <w:basedOn w:val="1"/>
    <w:next w:val="1"/>
    <w:link w:val="38"/>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38">
    <w:name w:val="z-窗体底端 Char"/>
    <w:basedOn w:val="20"/>
    <w:link w:val="37"/>
    <w:qFormat/>
    <w:uiPriority w:val="99"/>
    <w:rPr>
      <w:rFonts w:ascii="Arial" w:hAnsi="Arial" w:cs="Arial"/>
      <w:vanish/>
      <w:sz w:val="16"/>
      <w:szCs w:val="16"/>
    </w:rPr>
  </w:style>
  <w:style w:type="character" w:customStyle="1" w:styleId="39">
    <w:name w:val="标题 1 字符"/>
    <w:basedOn w:val="20"/>
    <w:link w:val="2"/>
    <w:qFormat/>
    <w:uiPriority w:val="9"/>
    <w:rPr>
      <w:b/>
      <w:bCs/>
      <w:kern w:val="44"/>
      <w:sz w:val="44"/>
      <w:szCs w:val="44"/>
    </w:rPr>
  </w:style>
  <w:style w:type="paragraph" w:customStyle="1" w:styleId="40">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chart" Target="charts/chart19.xml"/><Relationship Id="rId28" Type="http://schemas.openxmlformats.org/officeDocument/2006/relationships/chart" Target="charts/chart18.xml"/><Relationship Id="rId27" Type="http://schemas.openxmlformats.org/officeDocument/2006/relationships/chart" Target="charts/chart17.xml"/><Relationship Id="rId26" Type="http://schemas.openxmlformats.org/officeDocument/2006/relationships/chart" Target="charts/chart16.xml"/><Relationship Id="rId25" Type="http://schemas.openxmlformats.org/officeDocument/2006/relationships/chart" Target="charts/chart15.xml"/><Relationship Id="rId24" Type="http://schemas.openxmlformats.org/officeDocument/2006/relationships/chart" Target="charts/chart14.xml"/><Relationship Id="rId23" Type="http://schemas.openxmlformats.org/officeDocument/2006/relationships/chart" Target="charts/chart13.xml"/><Relationship Id="rId22" Type="http://schemas.openxmlformats.org/officeDocument/2006/relationships/chart" Target="charts/chart12.xml"/><Relationship Id="rId21" Type="http://schemas.openxmlformats.org/officeDocument/2006/relationships/chart" Target="charts/chart11.xml"/><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D:\&#26700;&#38754;\&#36136;&#37327;&#25253;&#21578;\&#25968;&#25454;&#20998;&#2651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1" Type="http://schemas.openxmlformats.org/officeDocument/2006/relationships/oleObject" Target="file:///D:\&#26700;&#38754;\&#36136;&#37327;&#25253;&#21578;\&#25968;&#25454;&#20998;&#265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6700;&#38754;\&#36136;&#37327;&#25253;&#21578;\&#25968;&#25454;&#20998;&#265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6700;&#38754;\&#36136;&#37327;&#25253;&#21578;\&#25968;&#25454;&#20998;&#265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6700;&#38754;\&#36136;&#37327;&#25253;&#21578;\&#25968;&#25454;&#20998;&#265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6700;&#38754;\&#36136;&#37327;&#25253;&#21578;\&#25968;&#25454;&#20998;&#265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6700;&#38754;\&#25968;&#25454;&#20998;&#26512;.xlsx" TargetMode="External"/></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D:\&#26700;&#38754;\&#36136;&#37327;&#25253;&#21578;\&#26412;&#31185;&#21319;&#23398;&#31867;&#21035;&#32479;&#35745;.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r>
              <a:rPr lang="en-US" altLang="zh-CN" sz="1400"/>
              <a:t>2017-2019</a:t>
            </a:r>
            <a:r>
              <a:rPr lang="zh-CN" altLang="en-US" sz="1400"/>
              <a:t>届本科毕业生省内、外生源比例情况</a:t>
            </a:r>
            <a:endParaRPr lang="zh-CN" altLang="en-US" sz="1400"/>
          </a:p>
        </c:rich>
      </c:tx>
      <c:layout/>
      <c:overlay val="0"/>
      <c:spPr>
        <a:noFill/>
        <a:ln>
          <a:noFill/>
        </a:ln>
        <a:effectLst/>
      </c:spPr>
    </c:title>
    <c:autoTitleDeleted val="0"/>
    <c:plotArea>
      <c:layout/>
      <c:lineChart>
        <c:grouping val="standard"/>
        <c:varyColors val="0"/>
        <c:ser>
          <c:idx val="0"/>
          <c:order val="0"/>
          <c:tx>
            <c:strRef>
              <c:f>[数据分析.xlsx]Sheet2!$I$8</c:f>
              <c:strCache>
                <c:ptCount val="1"/>
                <c:pt idx="0">
                  <c:v>省内</c:v>
                </c:pt>
              </c:strCache>
            </c:strRef>
          </c:tx>
          <c:spPr>
            <a:ln w="28575" cap="rnd" cmpd="sng" algn="ctr">
              <a:solidFill>
                <a:schemeClr val="accent2">
                  <a:shade val="50000"/>
                </a:schemeClr>
              </a:solidFill>
              <a:prstDash val="solid"/>
              <a:round/>
            </a:ln>
            <a:effectLst/>
          </c:spPr>
          <c:marker>
            <c:symbol val="circle"/>
            <c:size val="7"/>
            <c:spPr>
              <a:solidFill>
                <a:schemeClr val="accent2">
                  <a:shade val="50000"/>
                </a:schemeClr>
              </a:solidFill>
              <a:ln w="9525" cap="flat" cmpd="sng" algn="ctr">
                <a:solidFill>
                  <a:schemeClr val="accent2">
                    <a:shade val="50000"/>
                  </a:schemeClr>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[数据分析.xlsx]Sheet2!$J$7:$L$7</c:f>
              <c:numCache>
                <c:formatCode>General</c:formatCode>
                <c:ptCount val="3"/>
                <c:pt idx="0">
                  <c:v>2017</c:v>
                </c:pt>
                <c:pt idx="1">
                  <c:v>2018</c:v>
                </c:pt>
                <c:pt idx="2">
                  <c:v>2019</c:v>
                </c:pt>
              </c:numCache>
            </c:numRef>
          </c:cat>
          <c:val>
            <c:numRef>
              <c:f>[数据分析.xlsx]Sheet2!$J$8:$L$8</c:f>
              <c:numCache>
                <c:formatCode>0.00%</c:formatCode>
                <c:ptCount val="3"/>
                <c:pt idx="0">
                  <c:v>0.662</c:v>
                </c:pt>
                <c:pt idx="1">
                  <c:v>0.5585</c:v>
                </c:pt>
                <c:pt idx="2">
                  <c:v>0.5722</c:v>
                </c:pt>
              </c:numCache>
            </c:numRef>
          </c:val>
          <c:smooth val="0"/>
        </c:ser>
        <c:ser>
          <c:idx val="1"/>
          <c:order val="1"/>
          <c:tx>
            <c:strRef>
              <c:f>[数据分析.xlsx]Sheet2!$I$9</c:f>
              <c:strCache>
                <c:ptCount val="1"/>
                <c:pt idx="0">
                  <c:v>省外</c:v>
                </c:pt>
              </c:strCache>
            </c:strRef>
          </c:tx>
          <c:spPr>
            <a:ln w="28575" cap="rnd" cmpd="sng" algn="ctr">
              <a:solidFill>
                <a:schemeClr val="accent2">
                  <a:shade val="70000"/>
                </a:schemeClr>
              </a:solidFill>
              <a:prstDash val="solid"/>
              <a:round/>
            </a:ln>
            <a:effectLst/>
          </c:spPr>
          <c:marker>
            <c:symbol val="circle"/>
            <c:size val="7"/>
            <c:spPr>
              <a:solidFill>
                <a:schemeClr val="accent2">
                  <a:shade val="70000"/>
                </a:schemeClr>
              </a:solidFill>
              <a:ln w="9525" cap="flat" cmpd="sng" algn="ctr">
                <a:solidFill>
                  <a:schemeClr val="accent2">
                    <a:shade val="70000"/>
                  </a:schemeClr>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[数据分析.xlsx]Sheet2!$J$7:$L$7</c:f>
              <c:numCache>
                <c:formatCode>General</c:formatCode>
                <c:ptCount val="3"/>
                <c:pt idx="0">
                  <c:v>2017</c:v>
                </c:pt>
                <c:pt idx="1">
                  <c:v>2018</c:v>
                </c:pt>
                <c:pt idx="2">
                  <c:v>2019</c:v>
                </c:pt>
              </c:numCache>
            </c:numRef>
          </c:cat>
          <c:val>
            <c:numRef>
              <c:f>[数据分析.xlsx]Sheet2!$J$9:$L$9</c:f>
              <c:numCache>
                <c:formatCode>0.00%</c:formatCode>
                <c:ptCount val="3"/>
                <c:pt idx="0">
                  <c:v>0.338</c:v>
                </c:pt>
                <c:pt idx="1">
                  <c:v>0.4415</c:v>
                </c:pt>
                <c:pt idx="2">
                  <c:v>0.4278</c:v>
                </c:pt>
              </c:numCache>
            </c:numRef>
          </c:val>
          <c:smooth val="0"/>
        </c:ser>
        <c:dLbls>
          <c:showLegendKey val="0"/>
          <c:showVal val="0"/>
          <c:showCatName val="0"/>
          <c:showSerName val="0"/>
          <c:showPercent val="0"/>
          <c:showBubbleSize val="0"/>
        </c:dLbls>
        <c:marker val="1"/>
        <c:smooth val="0"/>
        <c:axId val="408292352"/>
        <c:axId val="407543104"/>
      </c:lineChart>
      <c:catAx>
        <c:axId val="408292352"/>
        <c:scaling>
          <c:orientation val="minMax"/>
        </c:scaling>
        <c:delete val="0"/>
        <c:axPos val="b"/>
        <c:numFmt formatCode="General" sourceLinked="1"/>
        <c:majorTickMark val="none"/>
        <c:minorTickMark val="none"/>
        <c:tickLblPos val="nextTo"/>
        <c:spPr>
          <a:noFill/>
          <a:ln w="9525" cap="flat" cmpd="sng" algn="ctr">
            <a:solidFill>
              <a:schemeClr val="bg1">
                <a:lumMod val="95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p>
        </c:txPr>
        <c:crossAx val="407543104"/>
        <c:crosses val="autoZero"/>
        <c:auto val="1"/>
        <c:lblAlgn val="ctr"/>
        <c:lblOffset val="100"/>
        <c:noMultiLvlLbl val="0"/>
      </c:catAx>
      <c:valAx>
        <c:axId val="407543104"/>
        <c:scaling>
          <c:orientation val="minMax"/>
        </c:scaling>
        <c:delete val="0"/>
        <c:axPos val="l"/>
        <c:majorGridlines>
          <c:spPr>
            <a:ln w="9525" cap="flat" cmpd="sng" algn="ctr">
              <a:solidFill>
                <a:schemeClr val="bg1">
                  <a:lumMod val="9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Arial" panose="020B0604020202020204" pitchFamily="2" charset="0"/>
                <a:ea typeface="+mn-ea"/>
                <a:cs typeface="Arial" panose="020B0604020202020204" pitchFamily="2" charset="0"/>
              </a:defRPr>
            </a:pPr>
          </a:p>
        </c:txPr>
        <c:crossAx val="408292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p>
      </c:txPr>
    </c:legend>
    <c:plotVisOnly val="1"/>
    <c:dispBlanksAs val="gap"/>
    <c:showDLblsOverMax val="0"/>
  </c:chart>
  <c:spPr>
    <a:solidFill>
      <a:schemeClr val="bg1"/>
    </a:solidFill>
    <a:ln w="9525" cap="flat" cmpd="sng" algn="ctr">
      <a:solidFill>
        <a:schemeClr val="bg1">
          <a:lumMod val="9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latin typeface="黑体" panose="02010609060101010101" charset="-122"/>
                <a:ea typeface="黑体" panose="02010609060101010101" charset="-122"/>
              </a:rPr>
              <a:t>各月专场招聘会单位数量统计图</a:t>
            </a:r>
            <a:endParaRPr lang="zh-CN" altLang="zh-CN" sz="1200" b="0">
              <a:effectLst/>
              <a:latin typeface="黑体" panose="02010609060101010101" charset="-122"/>
              <a:ea typeface="黑体" panose="02010609060101010101" charset="-122"/>
            </a:endParaRPr>
          </a:p>
        </c:rich>
      </c:tx>
      <c:layout>
        <c:manualLayout>
          <c:xMode val="edge"/>
          <c:yMode val="edge"/>
          <c:x val="0.306791009086561"/>
          <c:y val="0.0212458745874587"/>
        </c:manualLayout>
      </c:layout>
      <c:overlay val="0"/>
    </c:title>
    <c:autoTitleDeleted val="0"/>
    <c:plotArea>
      <c:layout/>
      <c:lineChart>
        <c:grouping val="stacked"/>
        <c:varyColors val="0"/>
        <c:ser>
          <c:idx val="0"/>
          <c:order val="0"/>
          <c:tx>
            <c:strRef>
              <c:f>Sheet1!$B$1</c:f>
              <c:strCache>
                <c:ptCount val="1"/>
                <c:pt idx="0">
                  <c:v>系列 1</c:v>
                </c:pt>
              </c:strCache>
            </c:strRef>
          </c:tx>
          <c:dLbls>
            <c:dLbl>
              <c:idx val="0"/>
              <c:layout/>
              <c:dLblPos val="r"/>
              <c:showLegendKey val="0"/>
              <c:showVal val="1"/>
              <c:showCatName val="0"/>
              <c:showSerName val="0"/>
              <c:showPercent val="0"/>
              <c:showBubbleSize val="0"/>
              <c:extLst>
                <c:ext xmlns:c15="http://schemas.microsoft.com/office/drawing/2012/chart" uri="{CE6537A1-D6FC-4f65-9D91-7224C49458BB}"/>
              </c:extLst>
            </c:dLbl>
            <c:dLbl>
              <c:idx val="1"/>
              <c:layout/>
              <c:dLblPos val="r"/>
              <c:showLegendKey val="0"/>
              <c:showVal val="1"/>
              <c:showCatName val="0"/>
              <c:showSerName val="0"/>
              <c:showPercent val="0"/>
              <c:showBubbleSize val="0"/>
              <c:extLst>
                <c:ext xmlns:c15="http://schemas.microsoft.com/office/drawing/2012/chart" uri="{CE6537A1-D6FC-4f65-9D91-7224C49458BB}"/>
              </c:extLst>
            </c:dLbl>
            <c:dLbl>
              <c:idx val="2"/>
              <c:layout/>
              <c:dLblPos val="r"/>
              <c:showLegendKey val="0"/>
              <c:showVal val="1"/>
              <c:showCatName val="0"/>
              <c:showSerName val="0"/>
              <c:showPercent val="0"/>
              <c:showBubbleSize val="0"/>
              <c:extLst>
                <c:ext xmlns:c15="http://schemas.microsoft.com/office/drawing/2012/chart" uri="{CE6537A1-D6FC-4f65-9D91-7224C49458BB}"/>
              </c:extLst>
            </c:dLbl>
            <c:dLbl>
              <c:idx val="3"/>
              <c:layout/>
              <c:dLblPos val="r"/>
              <c:showLegendKey val="0"/>
              <c:showVal val="1"/>
              <c:showCatName val="0"/>
              <c:showSerName val="0"/>
              <c:showPercent val="0"/>
              <c:showBubbleSize val="0"/>
              <c:extLst>
                <c:ext xmlns:c15="http://schemas.microsoft.com/office/drawing/2012/chart" uri="{CE6537A1-D6FC-4f65-9D91-7224C49458BB}"/>
              </c:extLst>
            </c:dLbl>
            <c:dLbl>
              <c:idx val="4"/>
              <c:layout/>
              <c:dLblPos val="r"/>
              <c:showLegendKey val="0"/>
              <c:showVal val="1"/>
              <c:showCatName val="0"/>
              <c:showSerName val="0"/>
              <c:showPercent val="0"/>
              <c:showBubbleSize val="0"/>
              <c:extLst>
                <c:ext xmlns:c15="http://schemas.microsoft.com/office/drawing/2012/chart" uri="{CE6537A1-D6FC-4f65-9D91-7224C49458BB}"/>
              </c:extLst>
            </c:dLbl>
            <c:dLbl>
              <c:idx val="5"/>
              <c:layout/>
              <c:dLblPos val="r"/>
              <c:showLegendKey val="0"/>
              <c:showVal val="1"/>
              <c:showCatName val="0"/>
              <c:showSerName val="0"/>
              <c:showPercent val="0"/>
              <c:showBubbleSize val="0"/>
              <c:extLst>
                <c:ext xmlns:c15="http://schemas.microsoft.com/office/drawing/2012/chart" uri="{CE6537A1-D6FC-4f65-9D91-7224C49458BB}"/>
              </c:extLst>
            </c:dLbl>
            <c:dLbl>
              <c:idx val="6"/>
              <c:layout/>
              <c:dLblPos val="r"/>
              <c:showLegendKey val="0"/>
              <c:showVal val="1"/>
              <c:showCatName val="0"/>
              <c:showSerName val="0"/>
              <c:showPercent val="0"/>
              <c:showBubbleSize val="0"/>
              <c:extLst>
                <c:ext xmlns:c15="http://schemas.microsoft.com/office/drawing/2012/chart" uri="{CE6537A1-D6FC-4f65-9D91-7224C49458BB}"/>
              </c:extLst>
            </c:dLbl>
            <c:dLbl>
              <c:idx val="7"/>
              <c:layout/>
              <c:dLblPos val="r"/>
              <c:showLegendKey val="0"/>
              <c:showVal val="1"/>
              <c:showCatName val="0"/>
              <c:showSerName val="0"/>
              <c:showPercent val="0"/>
              <c:showBubbleSize val="0"/>
              <c:extLst>
                <c:ext xmlns:c15="http://schemas.microsoft.com/office/drawing/2012/chart" uri="{CE6537A1-D6FC-4f65-9D91-7224C49458BB}"/>
              </c:extLst>
            </c:dLbl>
            <c:dLbl>
              <c:idx val="8"/>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yyyy"年"m"月"</c:formatCode>
                <c:ptCount val="9"/>
                <c:pt idx="0" c:formatCode="yyyy&quot;年&quot;m&quot;月&quot;">
                  <c:v>43344</c:v>
                </c:pt>
                <c:pt idx="1" c:formatCode="yyyy&quot;年&quot;m&quot;月&quot;">
                  <c:v>43374</c:v>
                </c:pt>
                <c:pt idx="2" c:formatCode="yyyy&quot;年&quot;m&quot;月&quot;">
                  <c:v>43405</c:v>
                </c:pt>
                <c:pt idx="3" c:formatCode="yyyy&quot;年&quot;m&quot;月&quot;">
                  <c:v>43435</c:v>
                </c:pt>
                <c:pt idx="4" c:formatCode="yyyy&quot;年&quot;m&quot;月&quot;">
                  <c:v>43466</c:v>
                </c:pt>
                <c:pt idx="5" c:formatCode="yyyy&quot;年&quot;m&quot;月&quot;">
                  <c:v>43497</c:v>
                </c:pt>
                <c:pt idx="6" c:formatCode="yyyy&quot;年&quot;m&quot;月&quot;">
                  <c:v>43525</c:v>
                </c:pt>
                <c:pt idx="7" c:formatCode="yyyy&quot;年&quot;m&quot;月&quot;">
                  <c:v>43556</c:v>
                </c:pt>
                <c:pt idx="8" c:formatCode="yyyy&quot;年&quot;m&quot;月&quot;">
                  <c:v>43586</c:v>
                </c:pt>
              </c:numCache>
            </c:numRef>
          </c:cat>
          <c:val>
            <c:numRef>
              <c:f>Sheet1!$B$2:$B$10</c:f>
              <c:numCache>
                <c:formatCode>General</c:formatCode>
                <c:ptCount val="9"/>
                <c:pt idx="0">
                  <c:v>46</c:v>
                </c:pt>
                <c:pt idx="1">
                  <c:v>137</c:v>
                </c:pt>
                <c:pt idx="2">
                  <c:v>95</c:v>
                </c:pt>
                <c:pt idx="3">
                  <c:v>14</c:v>
                </c:pt>
                <c:pt idx="4">
                  <c:v>2</c:v>
                </c:pt>
                <c:pt idx="5">
                  <c:v>0</c:v>
                </c:pt>
                <c:pt idx="6">
                  <c:v>127</c:v>
                </c:pt>
                <c:pt idx="7">
                  <c:v>60</c:v>
                </c:pt>
                <c:pt idx="8">
                  <c:v>10</c:v>
                </c:pt>
              </c:numCache>
            </c:numRef>
          </c:val>
          <c:smooth val="0"/>
        </c:ser>
        <c:dLbls>
          <c:showLegendKey val="0"/>
          <c:showVal val="0"/>
          <c:showCatName val="0"/>
          <c:showSerName val="0"/>
          <c:showPercent val="0"/>
          <c:showBubbleSize val="0"/>
        </c:dLbls>
        <c:marker val="1"/>
        <c:smooth val="0"/>
        <c:axId val="409408000"/>
        <c:axId val="407508032"/>
      </c:lineChart>
      <c:dateAx>
        <c:axId val="409408000"/>
        <c:scaling>
          <c:orientation val="minMax"/>
        </c:scaling>
        <c:delete val="0"/>
        <c:axPos val="b"/>
        <c:numFmt formatCode="yyyy&quot;年&quot;m&quot;月&quot;"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7508032"/>
        <c:crosses val="autoZero"/>
        <c:auto val="1"/>
        <c:lblOffset val="100"/>
        <c:baseTimeUnit val="months"/>
      </c:dateAx>
      <c:valAx>
        <c:axId val="4075080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408000"/>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行业双选会</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yyyy"年"m"月"</c:formatCode>
                <c:ptCount val="9"/>
                <c:pt idx="0" c:formatCode="yyyy&quot;年&quot;m&quot;月&quot;">
                  <c:v>43344</c:v>
                </c:pt>
                <c:pt idx="1" c:formatCode="yyyy&quot;年&quot;m&quot;月&quot;">
                  <c:v>43374</c:v>
                </c:pt>
                <c:pt idx="2" c:formatCode="yyyy&quot;年&quot;m&quot;月&quot;">
                  <c:v>43405</c:v>
                </c:pt>
                <c:pt idx="3" c:formatCode="yyyy&quot;年&quot;m&quot;月&quot;">
                  <c:v>43435</c:v>
                </c:pt>
                <c:pt idx="4" c:formatCode="yyyy&quot;年&quot;m&quot;月&quot;">
                  <c:v>43466</c:v>
                </c:pt>
                <c:pt idx="5" c:formatCode="yyyy&quot;年&quot;m&quot;月&quot;">
                  <c:v>43497</c:v>
                </c:pt>
                <c:pt idx="6" c:formatCode="yyyy&quot;年&quot;m&quot;月&quot;">
                  <c:v>43525</c:v>
                </c:pt>
                <c:pt idx="7" c:formatCode="yyyy&quot;年&quot;m&quot;月&quot;">
                  <c:v>43556</c:v>
                </c:pt>
                <c:pt idx="8" c:formatCode="yyyy&quot;年&quot;m&quot;月&quot;">
                  <c:v>43586</c:v>
                </c:pt>
              </c:numCache>
            </c:numRef>
          </c:cat>
          <c:val>
            <c:numRef>
              <c:f>Sheet1!$B$2:$B$10</c:f>
              <c:numCache>
                <c:formatCode>General</c:formatCode>
                <c:ptCount val="9"/>
                <c:pt idx="0">
                  <c:v>0</c:v>
                </c:pt>
                <c:pt idx="1">
                  <c:v>254</c:v>
                </c:pt>
                <c:pt idx="2">
                  <c:v>84</c:v>
                </c:pt>
                <c:pt idx="3">
                  <c:v>0</c:v>
                </c:pt>
                <c:pt idx="4">
                  <c:v>0</c:v>
                </c:pt>
                <c:pt idx="5">
                  <c:v>0</c:v>
                </c:pt>
                <c:pt idx="6">
                  <c:v>108</c:v>
                </c:pt>
                <c:pt idx="7">
                  <c:v>220</c:v>
                </c:pt>
              </c:numCache>
            </c:numRef>
          </c:val>
        </c:ser>
        <c:ser>
          <c:idx val="1"/>
          <c:order val="1"/>
          <c:tx>
            <c:strRef>
              <c:f>Sheet1!$C$1</c:f>
              <c:strCache>
                <c:ptCount val="1"/>
                <c:pt idx="0">
                  <c:v>综合招聘会</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Sheet1!$A$2:$A$10</c:f>
              <c:numCache>
                <c:formatCode>yyyy"年"m"月"</c:formatCode>
                <c:ptCount val="9"/>
                <c:pt idx="0" c:formatCode="yyyy&quot;年&quot;m&quot;月&quot;">
                  <c:v>43344</c:v>
                </c:pt>
                <c:pt idx="1" c:formatCode="yyyy&quot;年&quot;m&quot;月&quot;">
                  <c:v>43374</c:v>
                </c:pt>
                <c:pt idx="2" c:formatCode="yyyy&quot;年&quot;m&quot;月&quot;">
                  <c:v>43405</c:v>
                </c:pt>
                <c:pt idx="3" c:formatCode="yyyy&quot;年&quot;m&quot;月&quot;">
                  <c:v>43435</c:v>
                </c:pt>
                <c:pt idx="4" c:formatCode="yyyy&quot;年&quot;m&quot;月&quot;">
                  <c:v>43466</c:v>
                </c:pt>
                <c:pt idx="5" c:formatCode="yyyy&quot;年&quot;m&quot;月&quot;">
                  <c:v>43497</c:v>
                </c:pt>
                <c:pt idx="6" c:formatCode="yyyy&quot;年&quot;m&quot;月&quot;">
                  <c:v>43525</c:v>
                </c:pt>
                <c:pt idx="7" c:formatCode="yyyy&quot;年&quot;m&quot;月&quot;">
                  <c:v>43556</c:v>
                </c:pt>
                <c:pt idx="8" c:formatCode="yyyy&quot;年&quot;m&quot;月&quot;">
                  <c:v>43586</c:v>
                </c:pt>
              </c:numCache>
            </c:numRef>
          </c:cat>
          <c:val>
            <c:numRef>
              <c:f>Sheet1!$C$2:$C$10</c:f>
              <c:numCache>
                <c:formatCode>General</c:formatCode>
                <c:ptCount val="9"/>
                <c:pt idx="0">
                  <c:v>22</c:v>
                </c:pt>
                <c:pt idx="1">
                  <c:v>0</c:v>
                </c:pt>
                <c:pt idx="2">
                  <c:v>75</c:v>
                </c:pt>
                <c:pt idx="3">
                  <c:v>0</c:v>
                </c:pt>
                <c:pt idx="4">
                  <c:v>0</c:v>
                </c:pt>
                <c:pt idx="5">
                  <c:v>0</c:v>
                </c:pt>
                <c:pt idx="6">
                  <c:v>26</c:v>
                </c:pt>
                <c:pt idx="7">
                  <c:v>110</c:v>
                </c:pt>
              </c:numCache>
            </c:numRef>
          </c:val>
        </c:ser>
        <c:dLbls>
          <c:showLegendKey val="0"/>
          <c:showVal val="0"/>
          <c:showCatName val="0"/>
          <c:showSerName val="0"/>
          <c:showPercent val="0"/>
          <c:showBubbleSize val="0"/>
        </c:dLbls>
        <c:gapWidth val="150"/>
        <c:axId val="409650176"/>
        <c:axId val="407509760"/>
      </c:barChart>
      <c:dateAx>
        <c:axId val="409650176"/>
        <c:scaling>
          <c:orientation val="minMax"/>
        </c:scaling>
        <c:delete val="0"/>
        <c:axPos val="b"/>
        <c:numFmt formatCode="yyyy&quot;年&quot;m&quot;月&quot;"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7509760"/>
        <c:crosses val="autoZero"/>
        <c:auto val="1"/>
        <c:lblOffset val="100"/>
        <c:baseTimeUnit val="months"/>
      </c:dateAx>
      <c:valAx>
        <c:axId val="4075097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650176"/>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场次</c:v>
                </c:pt>
              </c:strCache>
            </c:strRef>
          </c:tx>
          <c:explosion val="0"/>
          <c:dPt>
            <c:idx val="0"/>
            <c:bubble3D val="0"/>
          </c:dPt>
          <c:dPt>
            <c:idx val="1"/>
            <c:bubble3D val="0"/>
          </c:dPt>
          <c:dPt>
            <c:idx val="2"/>
            <c:bubble3D val="0"/>
          </c:dPt>
          <c:dPt>
            <c:idx val="3"/>
            <c:bubble3D val="0"/>
          </c:dPt>
          <c:dPt>
            <c:idx val="4"/>
            <c:bubble3D val="0"/>
          </c:dPt>
          <c:dLbls>
            <c:dLbl>
              <c:idx val="0"/>
              <c:layout>
                <c:manualLayout>
                  <c:x val="-0.0369401135689551"/>
                  <c:y val="0.12300381262269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41</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0830561761176"/>
                  <c:y val="-0.08067381059523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182</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46029648639885"/>
                  <c:y val="-0.18360226087042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193</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49</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0.027397429925498"/>
                  <c:y val="0.114490933276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国有企业</c:v>
                </c:pt>
                <c:pt idx="1">
                  <c:v>外资企业</c:v>
                </c:pt>
                <c:pt idx="2">
                  <c:v>私营/民营</c:v>
                </c:pt>
                <c:pt idx="3">
                  <c:v>上市公司</c:v>
                </c:pt>
                <c:pt idx="4">
                  <c:v>其他企业</c:v>
                </c:pt>
              </c:strCache>
            </c:strRef>
          </c:cat>
          <c:val>
            <c:numRef>
              <c:f>Sheet1!$B$2:$B$6</c:f>
              <c:numCache>
                <c:formatCode>General</c:formatCode>
                <c:ptCount val="5"/>
                <c:pt idx="0">
                  <c:v>41</c:v>
                </c:pt>
                <c:pt idx="1">
                  <c:v>182</c:v>
                </c:pt>
                <c:pt idx="2">
                  <c:v>193</c:v>
                </c:pt>
                <c:pt idx="3">
                  <c:v>49</c:v>
                </c:pt>
                <c:pt idx="4">
                  <c:v>26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200" b="0">
                <a:latin typeface="黑体" panose="02010609060101010101" charset="-122"/>
                <a:ea typeface="黑体" panose="02010609060101010101" charset="-122"/>
              </a:rPr>
              <a:t>用人单位对毕业生的总体满意度</a:t>
            </a:r>
            <a:endParaRPr lang="zh-CN" sz="1200" b="0">
              <a:latin typeface="黑体" panose="02010609060101010101" charset="-122"/>
              <a:ea typeface="黑体" panose="02010609060101010101" charset="-122"/>
            </a:endParaRPr>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不满意</c:v>
                </c:pt>
                <c:pt idx="1">
                  <c:v>一般</c:v>
                </c:pt>
                <c:pt idx="2">
                  <c:v>满意</c:v>
                </c:pt>
                <c:pt idx="3">
                  <c:v>很满意</c:v>
                </c:pt>
              </c:strCache>
            </c:strRef>
          </c:cat>
          <c:val>
            <c:numRef>
              <c:f>Sheet1!$B$2:$B$5</c:f>
              <c:numCache>
                <c:formatCode>0.00%</c:formatCode>
                <c:ptCount val="4"/>
                <c:pt idx="0">
                  <c:v>0.0274</c:v>
                </c:pt>
                <c:pt idx="1">
                  <c:v>0.3519</c:v>
                </c:pt>
                <c:pt idx="2">
                  <c:v>0.4212</c:v>
                </c:pt>
                <c:pt idx="3">
                  <c:v>0.1995</c:v>
                </c:pt>
              </c:numCache>
            </c:numRef>
          </c:val>
        </c:ser>
        <c:dLbls>
          <c:showLegendKey val="0"/>
          <c:showVal val="0"/>
          <c:showCatName val="0"/>
          <c:showSerName val="0"/>
          <c:showPercent val="0"/>
          <c:showBubbleSize val="0"/>
        </c:dLbls>
        <c:gapWidth val="150"/>
        <c:axId val="409651200"/>
        <c:axId val="409552576"/>
      </c:barChart>
      <c:catAx>
        <c:axId val="40965120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552576"/>
        <c:crosses val="autoZero"/>
        <c:auto val="1"/>
        <c:lblAlgn val="ctr"/>
        <c:lblOffset val="100"/>
        <c:noMultiLvlLbl val="0"/>
      </c:catAx>
      <c:valAx>
        <c:axId val="40955257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65120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latin typeface="黑体" panose="02010609060101010101" charset="-122"/>
                <a:ea typeface="黑体" panose="02010609060101010101" charset="-122"/>
              </a:rPr>
              <a:t>用人单位提供岗位薪资情况</a:t>
            </a:r>
            <a:endParaRPr lang="zh-CN" altLang="zh-CN" sz="1200" b="0">
              <a:effectLst/>
              <a:latin typeface="黑体" panose="02010609060101010101" charset="-122"/>
              <a:ea typeface="黑体" panose="02010609060101010101" charset="-122"/>
            </a:endParaRPr>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2000-2999</c:v>
                </c:pt>
                <c:pt idx="1">
                  <c:v>3000-3999</c:v>
                </c:pt>
                <c:pt idx="2">
                  <c:v>4000-4999</c:v>
                </c:pt>
                <c:pt idx="3">
                  <c:v>5000-5999</c:v>
                </c:pt>
                <c:pt idx="4">
                  <c:v>6000及以上</c:v>
                </c:pt>
              </c:strCache>
            </c:strRef>
          </c:cat>
          <c:val>
            <c:numRef>
              <c:f>Sheet1!$B$2:$B$6</c:f>
              <c:numCache>
                <c:formatCode>0.00%</c:formatCode>
                <c:ptCount val="5"/>
                <c:pt idx="0">
                  <c:v>0.0933</c:v>
                </c:pt>
                <c:pt idx="1">
                  <c:v>0.2824</c:v>
                </c:pt>
                <c:pt idx="2">
                  <c:v>0.3653</c:v>
                </c:pt>
                <c:pt idx="3">
                  <c:v>0.1917</c:v>
                </c:pt>
                <c:pt idx="4">
                  <c:v>0.0674</c:v>
                </c:pt>
              </c:numCache>
            </c:numRef>
          </c:val>
        </c:ser>
        <c:dLbls>
          <c:showLegendKey val="0"/>
          <c:showVal val="0"/>
          <c:showCatName val="0"/>
          <c:showSerName val="0"/>
          <c:showPercent val="0"/>
          <c:showBubbleSize val="0"/>
        </c:dLbls>
        <c:gapWidth val="150"/>
        <c:axId val="408309760"/>
        <c:axId val="409554304"/>
      </c:barChart>
      <c:catAx>
        <c:axId val="4083097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554304"/>
        <c:crosses val="autoZero"/>
        <c:auto val="1"/>
        <c:lblAlgn val="ctr"/>
        <c:lblOffset val="100"/>
        <c:noMultiLvlLbl val="0"/>
      </c:catAx>
      <c:valAx>
        <c:axId val="40955430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83097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latin typeface="黑体" panose="02010609060101010101" charset="-122"/>
                <a:ea typeface="黑体" panose="02010609060101010101" charset="-122"/>
              </a:rPr>
              <a:t>毕业生对个人职业发展规划的态度</a:t>
            </a:r>
            <a:endParaRPr lang="zh-CN" altLang="zh-CN" sz="1200" b="0">
              <a:effectLst/>
              <a:latin typeface="黑体" panose="02010609060101010101" charset="-122"/>
              <a:ea typeface="黑体" panose="02010609060101010101" charset="-122"/>
            </a:endParaRPr>
          </a:p>
        </c:rich>
      </c:tx>
      <c:layout>
        <c:manualLayout>
          <c:xMode val="edge"/>
          <c:yMode val="edge"/>
          <c:x val="0.233204912111726"/>
          <c:y val="0.0212590299277606"/>
        </c:manualLayout>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乐观</c:v>
                </c:pt>
                <c:pt idx="1">
                  <c:v>一般</c:v>
                </c:pt>
                <c:pt idx="2">
                  <c:v>悲观</c:v>
                </c:pt>
                <c:pt idx="3">
                  <c:v>不清楚</c:v>
                </c:pt>
              </c:strCache>
            </c:strRef>
          </c:cat>
          <c:val>
            <c:numRef>
              <c:f>Sheet1!$B$2:$B$5</c:f>
              <c:numCache>
                <c:formatCode>0.00%</c:formatCode>
                <c:ptCount val="4"/>
                <c:pt idx="0">
                  <c:v>0.3704</c:v>
                </c:pt>
                <c:pt idx="1">
                  <c:v>0.4961</c:v>
                </c:pt>
                <c:pt idx="2">
                  <c:v>0.0819</c:v>
                </c:pt>
                <c:pt idx="3">
                  <c:v>0.0516</c:v>
                </c:pt>
              </c:numCache>
            </c:numRef>
          </c:val>
        </c:ser>
        <c:dLbls>
          <c:showLegendKey val="0"/>
          <c:showVal val="0"/>
          <c:showCatName val="0"/>
          <c:showSerName val="0"/>
          <c:showPercent val="0"/>
          <c:showBubbleSize val="0"/>
        </c:dLbls>
        <c:gapWidth val="150"/>
        <c:axId val="408312320"/>
        <c:axId val="409556032"/>
      </c:barChart>
      <c:catAx>
        <c:axId val="4083123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556032"/>
        <c:crosses val="autoZero"/>
        <c:auto val="1"/>
        <c:lblAlgn val="ctr"/>
        <c:lblOffset val="100"/>
        <c:noMultiLvlLbl val="0"/>
      </c:catAx>
      <c:valAx>
        <c:axId val="40955603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83123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latin typeface="黑体" panose="02010609060101010101" charset="-122"/>
                <a:ea typeface="黑体" panose="02010609060101010101" charset="-122"/>
              </a:rPr>
              <a:t>毕业生对就业的总体满意度</a:t>
            </a:r>
            <a:endParaRPr lang="zh-CN" altLang="zh-CN" sz="1200" b="0">
              <a:effectLst/>
              <a:latin typeface="黑体" panose="02010609060101010101" charset="-122"/>
              <a:ea typeface="黑体" panose="02010609060101010101" charset="-122"/>
            </a:endParaRPr>
          </a:p>
        </c:rich>
      </c:tx>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很不满意</c:v>
                </c:pt>
                <c:pt idx="1">
                  <c:v>不满意</c:v>
                </c:pt>
                <c:pt idx="2">
                  <c:v>一般</c:v>
                </c:pt>
                <c:pt idx="3">
                  <c:v>满意</c:v>
                </c:pt>
                <c:pt idx="4">
                  <c:v>很满意</c:v>
                </c:pt>
              </c:strCache>
            </c:strRef>
          </c:cat>
          <c:val>
            <c:numRef>
              <c:f>Sheet1!$B$2:$B$6</c:f>
              <c:numCache>
                <c:formatCode>0.00%</c:formatCode>
                <c:ptCount val="5"/>
                <c:pt idx="0">
                  <c:v>0.0163</c:v>
                </c:pt>
                <c:pt idx="1">
                  <c:v>0.021</c:v>
                </c:pt>
                <c:pt idx="2">
                  <c:v>0.3451</c:v>
                </c:pt>
                <c:pt idx="3">
                  <c:v>0.5327</c:v>
                </c:pt>
                <c:pt idx="4">
                  <c:v>0.0849</c:v>
                </c:pt>
              </c:numCache>
            </c:numRef>
          </c:val>
        </c:ser>
        <c:dLbls>
          <c:showLegendKey val="0"/>
          <c:showVal val="0"/>
          <c:showCatName val="0"/>
          <c:showSerName val="0"/>
          <c:showPercent val="0"/>
          <c:showBubbleSize val="0"/>
        </c:dLbls>
        <c:gapWidth val="150"/>
        <c:axId val="409410048"/>
        <c:axId val="409557760"/>
      </c:barChart>
      <c:catAx>
        <c:axId val="4094100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557760"/>
        <c:crosses val="autoZero"/>
        <c:auto val="1"/>
        <c:lblAlgn val="ctr"/>
        <c:lblOffset val="100"/>
        <c:noMultiLvlLbl val="0"/>
      </c:catAx>
      <c:valAx>
        <c:axId val="409557760"/>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41004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latin typeface="黑体" panose="02010609060101010101" charset="-122"/>
                <a:ea typeface="黑体" panose="02010609060101010101" charset="-122"/>
              </a:rPr>
              <a:t>毕业生</a:t>
            </a:r>
            <a:r>
              <a:rPr lang="zh-CN" altLang="en-US" sz="1200" b="0">
                <a:effectLst/>
                <a:latin typeface="黑体" panose="02010609060101010101" charset="-122"/>
                <a:ea typeface="黑体" panose="02010609060101010101" charset="-122"/>
              </a:rPr>
              <a:t>对</a:t>
            </a:r>
            <a:r>
              <a:rPr lang="zh-CN" altLang="zh-CN" sz="1200" b="0">
                <a:effectLst/>
                <a:latin typeface="黑体" panose="02010609060101010101" charset="-122"/>
                <a:ea typeface="黑体" panose="02010609060101010101" charset="-122"/>
              </a:rPr>
              <a:t>薪资</a:t>
            </a:r>
            <a:r>
              <a:rPr lang="zh-CN" altLang="en-US" sz="1200" b="0">
                <a:effectLst/>
                <a:latin typeface="黑体" panose="02010609060101010101" charset="-122"/>
                <a:ea typeface="黑体" panose="02010609060101010101" charset="-122"/>
              </a:rPr>
              <a:t>的预期情况</a:t>
            </a:r>
            <a:endParaRPr lang="zh-CN" altLang="zh-CN" sz="1200" b="0">
              <a:effectLst/>
              <a:latin typeface="黑体" panose="02010609060101010101" charset="-122"/>
              <a:ea typeface="黑体" panose="02010609060101010101" charset="-122"/>
            </a:endParaRPr>
          </a:p>
        </c:rich>
      </c:tx>
      <c:layout>
        <c:manualLayout>
          <c:xMode val="edge"/>
          <c:yMode val="edge"/>
          <c:x val="0.371177462075608"/>
          <c:y val="0.0315789473684211"/>
        </c:manualLayout>
      </c:layout>
      <c:overlay val="0"/>
    </c:title>
    <c:autoTitleDeleted val="0"/>
    <c:plotArea>
      <c:layout/>
      <c:barChart>
        <c:barDir val="col"/>
        <c:grouping val="clustered"/>
        <c:varyColors val="0"/>
        <c:ser>
          <c:idx val="0"/>
          <c:order val="0"/>
          <c:tx>
            <c:strRef>
              <c:f>Sheet1!$B$1</c:f>
              <c:strCache>
                <c:ptCount val="1"/>
                <c:pt idx="0">
                  <c:v>系列 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Sheet1!$A$2:$A$6</c:f>
              <c:strCache>
                <c:ptCount val="5"/>
                <c:pt idx="0">
                  <c:v>2000-2999</c:v>
                </c:pt>
                <c:pt idx="1">
                  <c:v>3000-3999</c:v>
                </c:pt>
                <c:pt idx="2">
                  <c:v>4000-4999</c:v>
                </c:pt>
                <c:pt idx="3">
                  <c:v>5000-5999</c:v>
                </c:pt>
                <c:pt idx="4">
                  <c:v>6000及以上</c:v>
                </c:pt>
              </c:strCache>
            </c:strRef>
          </c:cat>
          <c:val>
            <c:numRef>
              <c:f>Sheet1!$B$2:$B$6</c:f>
              <c:numCache>
                <c:formatCode>0.00%</c:formatCode>
                <c:ptCount val="5"/>
                <c:pt idx="0">
                  <c:v>0.025</c:v>
                </c:pt>
                <c:pt idx="1">
                  <c:v>0.1499</c:v>
                </c:pt>
                <c:pt idx="2">
                  <c:v>0.3258</c:v>
                </c:pt>
                <c:pt idx="3">
                  <c:v>0.3133</c:v>
                </c:pt>
                <c:pt idx="4">
                  <c:v>0.1862</c:v>
                </c:pt>
              </c:numCache>
            </c:numRef>
          </c:val>
        </c:ser>
        <c:dLbls>
          <c:showLegendKey val="0"/>
          <c:showVal val="0"/>
          <c:showCatName val="0"/>
          <c:showSerName val="0"/>
          <c:showPercent val="0"/>
          <c:showBubbleSize val="0"/>
        </c:dLbls>
        <c:gapWidth val="150"/>
        <c:axId val="409410560"/>
        <c:axId val="409846336"/>
      </c:barChart>
      <c:catAx>
        <c:axId val="409410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846336"/>
        <c:crosses val="autoZero"/>
        <c:auto val="1"/>
        <c:lblAlgn val="ctr"/>
        <c:lblOffset val="100"/>
        <c:noMultiLvlLbl val="0"/>
      </c:catAx>
      <c:valAx>
        <c:axId val="40984633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4105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latin typeface="黑体" panose="02010609060101010101" charset="-122"/>
                <a:ea typeface="黑体" panose="02010609060101010101" charset="-122"/>
              </a:rPr>
              <a:t>毕业生就业时考虑因素</a:t>
            </a:r>
            <a:endParaRPr lang="zh-CN" altLang="zh-CN" sz="1200" b="0">
              <a:effectLst/>
              <a:latin typeface="黑体" panose="02010609060101010101" charset="-122"/>
              <a:ea typeface="黑体" panose="02010609060101010101" charset="-122"/>
            </a:endParaRPr>
          </a:p>
        </c:rich>
      </c:tx>
      <c:layout/>
      <c:overlay val="0"/>
    </c:title>
    <c:autoTitleDeleted val="0"/>
    <c:plotArea>
      <c:layout/>
      <c:barChart>
        <c:barDir val="col"/>
        <c:grouping val="clustered"/>
        <c:varyColors val="0"/>
        <c:ser>
          <c:idx val="0"/>
          <c:order val="0"/>
          <c:tx>
            <c:strRef>
              <c:f>Sheet1!$B$1</c:f>
              <c:strCache>
                <c:ptCount val="1"/>
                <c:pt idx="0">
                  <c:v>占比</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Sheet1!$A$2:$A$11</c:f>
              <c:strCache>
                <c:ptCount val="10"/>
                <c:pt idx="0">
                  <c:v>工作地点</c:v>
                </c:pt>
                <c:pt idx="1">
                  <c:v>薪酬和福利</c:v>
                </c:pt>
                <c:pt idx="2">
                  <c:v>个人发展机会</c:v>
                </c:pt>
                <c:pt idx="3">
                  <c:v>专业对口</c:v>
                </c:pt>
                <c:pt idx="4">
                  <c:v>工作单位性质和规模</c:v>
                </c:pt>
                <c:pt idx="5">
                  <c:v>工作环境</c:v>
                </c:pt>
                <c:pt idx="6">
                  <c:v>自己的性格和兴趣</c:v>
                </c:pt>
                <c:pt idx="7">
                  <c:v>父母的意愿</c:v>
                </c:pt>
                <c:pt idx="8">
                  <c:v>工作的稳定性</c:v>
                </c:pt>
                <c:pt idx="9">
                  <c:v>其他</c:v>
                </c:pt>
              </c:strCache>
            </c:strRef>
          </c:cat>
          <c:val>
            <c:numRef>
              <c:f>Sheet1!$B$2:$B$11</c:f>
              <c:numCache>
                <c:formatCode>0.00%</c:formatCode>
                <c:ptCount val="10"/>
                <c:pt idx="0">
                  <c:v>0.1822</c:v>
                </c:pt>
                <c:pt idx="1">
                  <c:v>0.2302</c:v>
                </c:pt>
                <c:pt idx="2">
                  <c:v>0.2092</c:v>
                </c:pt>
                <c:pt idx="3">
                  <c:v>0.0731</c:v>
                </c:pt>
                <c:pt idx="4">
                  <c:v>0.1354</c:v>
                </c:pt>
                <c:pt idx="5">
                  <c:v>0.0483</c:v>
                </c:pt>
                <c:pt idx="6">
                  <c:v>0.062</c:v>
                </c:pt>
                <c:pt idx="7">
                  <c:v>0.0129</c:v>
                </c:pt>
                <c:pt idx="8">
                  <c:v>0.0339</c:v>
                </c:pt>
                <c:pt idx="9">
                  <c:v>0.013</c:v>
                </c:pt>
              </c:numCache>
            </c:numRef>
          </c:val>
        </c:ser>
        <c:dLbls>
          <c:showLegendKey val="0"/>
          <c:showVal val="0"/>
          <c:showCatName val="0"/>
          <c:showSerName val="0"/>
          <c:showPercent val="0"/>
          <c:showBubbleSize val="0"/>
        </c:dLbls>
        <c:gapWidth val="150"/>
        <c:axId val="409649664"/>
        <c:axId val="409848064"/>
      </c:barChart>
      <c:catAx>
        <c:axId val="4096496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848064"/>
        <c:crosses val="autoZero"/>
        <c:auto val="1"/>
        <c:lblAlgn val="ctr"/>
        <c:lblOffset val="100"/>
        <c:noMultiLvlLbl val="0"/>
      </c:catAx>
      <c:valAx>
        <c:axId val="409848064"/>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964966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4361080767069"/>
          <c:y val="0.131855819784641"/>
          <c:w val="0.627482157381024"/>
          <c:h val="0.736836197249473"/>
        </c:manualLayout>
      </c:layout>
      <c:pieChart>
        <c:varyColors val="1"/>
        <c:ser>
          <c:idx val="0"/>
          <c:order val="0"/>
          <c:tx>
            <c:strRef>
              <c:f>Sheet1!$B$1</c:f>
              <c:strCache>
                <c:ptCount val="1"/>
                <c:pt idx="0">
                  <c:v>列1</c:v>
                </c:pt>
              </c:strCache>
            </c:strRef>
          </c:tx>
          <c:explosion val="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继续工作</c:v>
                </c:pt>
                <c:pt idx="1">
                  <c:v>选择跳槽</c:v>
                </c:pt>
                <c:pt idx="2">
                  <c:v>不清楚</c:v>
                </c:pt>
              </c:strCache>
            </c:strRef>
          </c:cat>
          <c:val>
            <c:numRef>
              <c:f>Sheet1!$B$2:$B$4</c:f>
              <c:numCache>
                <c:formatCode>0.00%</c:formatCode>
                <c:ptCount val="3"/>
                <c:pt idx="0">
                  <c:v>0.4106</c:v>
                </c:pt>
                <c:pt idx="1">
                  <c:v>0.2475</c:v>
                </c:pt>
                <c:pt idx="2">
                  <c:v>0.3425</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657287760158"/>
          <c:y val="0.336633251240071"/>
          <c:w val="0.182913193301821"/>
          <c:h val="0.34069253215878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pivotSource>
    <c:name>[数据分析.xlsx]Sheet1!数据透视表4</c:name>
    <c:fmtId val="-1"/>
  </c:pivotSource>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lang="zh-CN" altLang="en-US"/>
              <a:t>届本专科毕业生省内各地市生源结构</a:t>
            </a:r>
            <a:endParaRPr lang="zh-CN" altLang="en-US"/>
          </a:p>
        </c:rich>
      </c:tx>
      <c:layout/>
      <c:overlay val="0"/>
      <c:spPr>
        <a:noFill/>
        <a:ln>
          <a:noFill/>
        </a:ln>
        <a:effectLst/>
      </c:spPr>
    </c:title>
    <c:autoTitleDeleted val="0"/>
    <c:plotArea>
      <c:layout>
        <c:manualLayout>
          <c:layoutTarget val="inner"/>
          <c:xMode val="edge"/>
          <c:yMode val="edge"/>
          <c:x val="0.0797521671784559"/>
          <c:y val="0.096551724137931"/>
          <c:w val="0.82523166390391"/>
          <c:h val="0.705229885057471"/>
        </c:manualLayout>
      </c:layout>
      <c:barChart>
        <c:barDir val="col"/>
        <c:grouping val="clustered"/>
        <c:varyColors val="0"/>
        <c:ser>
          <c:idx val="0"/>
          <c:order val="0"/>
          <c:tx>
            <c:strRef>
              <c:f>[数据分析.xlsx]Sheet1!$F$59</c:f>
              <c:strCache>
                <c:ptCount val="1"/>
                <c:pt idx="0">
                  <c:v>求和项:本科生毕业</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[数据分析.xlsx]Sheet1!$E$60:$E$78</c:f>
              <c:strCache>
                <c:ptCount val="18"/>
                <c:pt idx="0">
                  <c:v>河南省安阳市</c:v>
                </c:pt>
                <c:pt idx="1">
                  <c:v>河南省鹤壁市</c:v>
                </c:pt>
                <c:pt idx="2">
                  <c:v>河南省济源市</c:v>
                </c:pt>
                <c:pt idx="3">
                  <c:v>河南省焦作市</c:v>
                </c:pt>
                <c:pt idx="4">
                  <c:v>河南省开封市</c:v>
                </c:pt>
                <c:pt idx="5">
                  <c:v>河南省洛阳市</c:v>
                </c:pt>
                <c:pt idx="6">
                  <c:v>河南省漯河市</c:v>
                </c:pt>
                <c:pt idx="7">
                  <c:v>河南省南阳市</c:v>
                </c:pt>
                <c:pt idx="8">
                  <c:v>河南省平顶山市</c:v>
                </c:pt>
                <c:pt idx="9">
                  <c:v>河南省濮阳市</c:v>
                </c:pt>
                <c:pt idx="10">
                  <c:v>河南省三门峡市</c:v>
                </c:pt>
                <c:pt idx="11">
                  <c:v>河南省商丘市</c:v>
                </c:pt>
                <c:pt idx="12">
                  <c:v>河南省新乡市</c:v>
                </c:pt>
                <c:pt idx="13">
                  <c:v>河南省信阳市</c:v>
                </c:pt>
                <c:pt idx="14">
                  <c:v>河南省许昌市</c:v>
                </c:pt>
                <c:pt idx="15">
                  <c:v>河南省郑州市</c:v>
                </c:pt>
                <c:pt idx="16">
                  <c:v>河南省周口市</c:v>
                </c:pt>
                <c:pt idx="17">
                  <c:v>河南省驻马店市</c:v>
                </c:pt>
              </c:strCache>
            </c:strRef>
          </c:cat>
          <c:val>
            <c:numRef>
              <c:f>[数据分析.xlsx]Sheet1!$F$60:$F$78</c:f>
              <c:numCache>
                <c:formatCode>General</c:formatCode>
                <c:ptCount val="18"/>
                <c:pt idx="0">
                  <c:v>152</c:v>
                </c:pt>
                <c:pt idx="1">
                  <c:v>64</c:v>
                </c:pt>
                <c:pt idx="2">
                  <c:v>26</c:v>
                </c:pt>
                <c:pt idx="3">
                  <c:v>152</c:v>
                </c:pt>
                <c:pt idx="4">
                  <c:v>134</c:v>
                </c:pt>
                <c:pt idx="5">
                  <c:v>268</c:v>
                </c:pt>
                <c:pt idx="6">
                  <c:v>71</c:v>
                </c:pt>
                <c:pt idx="7">
                  <c:v>319</c:v>
                </c:pt>
                <c:pt idx="8">
                  <c:v>177</c:v>
                </c:pt>
                <c:pt idx="9">
                  <c:v>118</c:v>
                </c:pt>
                <c:pt idx="10">
                  <c:v>73</c:v>
                </c:pt>
                <c:pt idx="11">
                  <c:v>259</c:v>
                </c:pt>
                <c:pt idx="12">
                  <c:v>235</c:v>
                </c:pt>
                <c:pt idx="13">
                  <c:v>362</c:v>
                </c:pt>
                <c:pt idx="14">
                  <c:v>153</c:v>
                </c:pt>
                <c:pt idx="15">
                  <c:v>570</c:v>
                </c:pt>
                <c:pt idx="16">
                  <c:v>509</c:v>
                </c:pt>
                <c:pt idx="17">
                  <c:v>305</c:v>
                </c:pt>
              </c:numCache>
            </c:numRef>
          </c:val>
        </c:ser>
        <c:ser>
          <c:idx val="1"/>
          <c:order val="1"/>
          <c:tx>
            <c:strRef>
              <c:f>[数据分析.xlsx]Sheet1!$G$59</c:f>
              <c:strCache>
                <c:ptCount val="1"/>
                <c:pt idx="0">
                  <c:v>求和项:专科生毕业</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[数据分析.xlsx]Sheet1!$E$60:$E$78</c:f>
              <c:strCache>
                <c:ptCount val="18"/>
                <c:pt idx="0">
                  <c:v>河南省安阳市</c:v>
                </c:pt>
                <c:pt idx="1">
                  <c:v>河南省鹤壁市</c:v>
                </c:pt>
                <c:pt idx="2">
                  <c:v>河南省济源市</c:v>
                </c:pt>
                <c:pt idx="3">
                  <c:v>河南省焦作市</c:v>
                </c:pt>
                <c:pt idx="4">
                  <c:v>河南省开封市</c:v>
                </c:pt>
                <c:pt idx="5">
                  <c:v>河南省洛阳市</c:v>
                </c:pt>
                <c:pt idx="6">
                  <c:v>河南省漯河市</c:v>
                </c:pt>
                <c:pt idx="7">
                  <c:v>河南省南阳市</c:v>
                </c:pt>
                <c:pt idx="8">
                  <c:v>河南省平顶山市</c:v>
                </c:pt>
                <c:pt idx="9">
                  <c:v>河南省濮阳市</c:v>
                </c:pt>
                <c:pt idx="10">
                  <c:v>河南省三门峡市</c:v>
                </c:pt>
                <c:pt idx="11">
                  <c:v>河南省商丘市</c:v>
                </c:pt>
                <c:pt idx="12">
                  <c:v>河南省新乡市</c:v>
                </c:pt>
                <c:pt idx="13">
                  <c:v>河南省信阳市</c:v>
                </c:pt>
                <c:pt idx="14">
                  <c:v>河南省许昌市</c:v>
                </c:pt>
                <c:pt idx="15">
                  <c:v>河南省郑州市</c:v>
                </c:pt>
                <c:pt idx="16">
                  <c:v>河南省周口市</c:v>
                </c:pt>
                <c:pt idx="17">
                  <c:v>河南省驻马店市</c:v>
                </c:pt>
              </c:strCache>
            </c:strRef>
          </c:cat>
          <c:val>
            <c:numRef>
              <c:f>[数据分析.xlsx]Sheet1!$G$60:$G$78</c:f>
              <c:numCache>
                <c:formatCode>General</c:formatCode>
                <c:ptCount val="18"/>
                <c:pt idx="0">
                  <c:v>56</c:v>
                </c:pt>
                <c:pt idx="1">
                  <c:v>24</c:v>
                </c:pt>
                <c:pt idx="3">
                  <c:v>49</c:v>
                </c:pt>
                <c:pt idx="4">
                  <c:v>63</c:v>
                </c:pt>
                <c:pt idx="5">
                  <c:v>94</c:v>
                </c:pt>
                <c:pt idx="6">
                  <c:v>29</c:v>
                </c:pt>
                <c:pt idx="7">
                  <c:v>103</c:v>
                </c:pt>
                <c:pt idx="8">
                  <c:v>52</c:v>
                </c:pt>
                <c:pt idx="9">
                  <c:v>48</c:v>
                </c:pt>
                <c:pt idx="10">
                  <c:v>22</c:v>
                </c:pt>
                <c:pt idx="11">
                  <c:v>167</c:v>
                </c:pt>
                <c:pt idx="12">
                  <c:v>55</c:v>
                </c:pt>
                <c:pt idx="13">
                  <c:v>88</c:v>
                </c:pt>
                <c:pt idx="14">
                  <c:v>54</c:v>
                </c:pt>
                <c:pt idx="15">
                  <c:v>347</c:v>
                </c:pt>
                <c:pt idx="16">
                  <c:v>162</c:v>
                </c:pt>
                <c:pt idx="17">
                  <c:v>87</c:v>
                </c:pt>
              </c:numCache>
            </c:numRef>
          </c:val>
        </c:ser>
        <c:dLbls>
          <c:showLegendKey val="0"/>
          <c:showVal val="1"/>
          <c:showCatName val="0"/>
          <c:showSerName val="0"/>
          <c:showPercent val="0"/>
          <c:showBubbleSize val="0"/>
        </c:dLbls>
        <c:gapWidth val="219"/>
        <c:overlap val="-27"/>
        <c:axId val="336580096"/>
        <c:axId val="366101056"/>
      </c:barChart>
      <c:catAx>
        <c:axId val="3365800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1056"/>
        <c:crosses val="autoZero"/>
        <c:auto val="1"/>
        <c:lblAlgn val="ctr"/>
        <c:lblOffset val="100"/>
        <c:noMultiLvlLbl val="0"/>
      </c:catAx>
      <c:valAx>
        <c:axId val="366101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58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lang="en-US" altLang="zh-CN"/>
              <a:t>2019</a:t>
            </a:r>
            <a:r>
              <a:rPr lang="zh-CN" altLang="en-US"/>
              <a:t>届本科生毕业各学院生源分布图</a:t>
            </a:r>
            <a:endParaRPr lang="zh-CN" altLang="en-US"/>
          </a:p>
        </c:rich>
      </c:tx>
      <c:layout/>
      <c:overlay val="0"/>
      <c:spPr>
        <a:noFill/>
        <a:ln>
          <a:noFill/>
        </a:ln>
        <a:effectLst/>
      </c:spPr>
    </c:title>
    <c:autoTitleDeleted val="0"/>
    <c:plotArea>
      <c:layout>
        <c:manualLayout>
          <c:layoutTarget val="inner"/>
          <c:xMode val="edge"/>
          <c:yMode val="edge"/>
          <c:x val="0.224432560903149"/>
          <c:y val="0.191069542917484"/>
          <c:w val="0.573713606654783"/>
          <c:h val="0.728284809171821"/>
        </c:manualLayout>
      </c:layout>
      <c:radarChart>
        <c:radarStyle val="marker"/>
        <c:varyColors val="0"/>
        <c:ser>
          <c:idx val="0"/>
          <c:order val="0"/>
          <c:tx>
            <c:strRef>
              <c:f>[数据分析.xlsx]Sheet1!$H$105</c:f>
              <c:strCache>
                <c:ptCount val="1"/>
                <c:pt idx="0">
                  <c:v>本科生毕业</c:v>
                </c:pt>
              </c:strCache>
            </c:strRef>
          </c:tx>
          <c:spPr>
            <a:ln w="25400" cap="rnd" cmpd="sng" algn="ctr">
              <a:solidFill>
                <a:srgbClr val="7030A0"/>
              </a:solidFill>
              <a:prstDash val="sysDot"/>
              <a:round/>
            </a:ln>
            <a:effectLst/>
          </c:spPr>
          <c:marker>
            <c:symbol val="circle"/>
            <c:size val="6"/>
            <c:spPr>
              <a:solidFill>
                <a:schemeClr val="accent5">
                  <a:lumMod val="75000"/>
                </a:schemeClr>
              </a:solidFill>
              <a:ln w="9525" cap="flat" cmpd="sng" algn="ctr">
                <a:noFill/>
                <a:prstDash val="solid"/>
                <a:round/>
              </a:ln>
              <a:effectLst/>
            </c:spPr>
          </c:marker>
          <c:dLbls>
            <c:dLbl>
              <c:idx val="0"/>
              <c:layout>
                <c:manualLayout>
                  <c:x val="0.0107115579927099"/>
                  <c:y val="0.042599262846265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6616036736136"/>
                  <c:y val="0.028298073035979"/>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0427807486631"/>
                  <c:y val="0.027153416804948"/>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1939244083363"/>
                  <c:y val="0.0060638727934240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4277640409749"/>
                  <c:y val="0.00404258186228271"/>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3631225715295"/>
                  <c:y val="-0.00202129093114136"/>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76616036736136"/>
                  <c:y val="-0.0262767821048376"/>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180744668032293"/>
                  <c:y val="0.028727165586328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144595734425834"/>
                  <c:y val="0.0530347672362994"/>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[数据分析.xlsx]Sheet1!$G$106:$G$122</c:f>
              <c:strCache>
                <c:ptCount val="17"/>
                <c:pt idx="0">
                  <c:v>应用技术职业学院</c:v>
                </c:pt>
                <c:pt idx="1">
                  <c:v>法学院</c:v>
                </c:pt>
                <c:pt idx="2">
                  <c:v>外语学院</c:v>
                </c:pt>
                <c:pt idx="3">
                  <c:v>理学院</c:v>
                </c:pt>
                <c:pt idx="4">
                  <c:v>设计艺术学院</c:v>
                </c:pt>
                <c:pt idx="5">
                  <c:v>材料科学与工程学院</c:v>
                </c:pt>
                <c:pt idx="6">
                  <c:v>生物工程学院</c:v>
                </c:pt>
                <c:pt idx="7">
                  <c:v>新闻与传播学院</c:v>
                </c:pt>
                <c:pt idx="8">
                  <c:v>化学化工与环境学院</c:v>
                </c:pt>
                <c:pt idx="9">
                  <c:v>经济贸易学院</c:v>
                </c:pt>
                <c:pt idx="10">
                  <c:v>粮油食品学院</c:v>
                </c:pt>
                <c:pt idx="11">
                  <c:v>管理学院</c:v>
                </c:pt>
                <c:pt idx="12">
                  <c:v>电气工程学院</c:v>
                </c:pt>
                <c:pt idx="13">
                  <c:v>土木建筑学院</c:v>
                </c:pt>
                <c:pt idx="14">
                  <c:v>机电工程学院</c:v>
                </c:pt>
                <c:pt idx="15">
                  <c:v>国际教育学院</c:v>
                </c:pt>
                <c:pt idx="16">
                  <c:v>信息科学与工程学院</c:v>
                </c:pt>
              </c:strCache>
            </c:strRef>
          </c:cat>
          <c:val>
            <c:numRef>
              <c:f>[数据分析.xlsx]Sheet1!$H$106:$H$122</c:f>
              <c:numCache>
                <c:formatCode>General</c:formatCode>
                <c:ptCount val="17"/>
                <c:pt idx="0">
                  <c:v>87</c:v>
                </c:pt>
                <c:pt idx="1">
                  <c:v>118</c:v>
                </c:pt>
                <c:pt idx="2">
                  <c:v>174</c:v>
                </c:pt>
                <c:pt idx="3">
                  <c:v>179</c:v>
                </c:pt>
                <c:pt idx="4">
                  <c:v>271</c:v>
                </c:pt>
                <c:pt idx="5">
                  <c:v>322</c:v>
                </c:pt>
                <c:pt idx="6">
                  <c:v>336</c:v>
                </c:pt>
                <c:pt idx="7">
                  <c:v>386</c:v>
                </c:pt>
                <c:pt idx="8">
                  <c:v>393</c:v>
                </c:pt>
                <c:pt idx="9">
                  <c:v>468</c:v>
                </c:pt>
                <c:pt idx="10">
                  <c:v>470</c:v>
                </c:pt>
                <c:pt idx="11">
                  <c:v>482</c:v>
                </c:pt>
                <c:pt idx="12">
                  <c:v>548</c:v>
                </c:pt>
                <c:pt idx="13">
                  <c:v>595</c:v>
                </c:pt>
                <c:pt idx="14">
                  <c:v>613</c:v>
                </c:pt>
                <c:pt idx="15">
                  <c:v>707</c:v>
                </c:pt>
                <c:pt idx="16">
                  <c:v>756</c:v>
                </c:pt>
              </c:numCache>
            </c:numRef>
          </c:val>
        </c:ser>
        <c:dLbls>
          <c:showLegendKey val="0"/>
          <c:showVal val="1"/>
          <c:showCatName val="0"/>
          <c:showSerName val="0"/>
          <c:showPercent val="0"/>
          <c:showBubbleSize val="0"/>
        </c:dLbls>
        <c:axId val="407766528"/>
        <c:axId val="366102208"/>
      </c:radarChart>
      <c:catAx>
        <c:axId val="4077665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2208"/>
        <c:crosses val="autoZero"/>
        <c:auto val="1"/>
        <c:lblAlgn val="ctr"/>
        <c:lblOffset val="100"/>
        <c:noMultiLvlLbl val="0"/>
      </c:catAx>
      <c:valAx>
        <c:axId val="366102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in"/>
        <c:minorTickMark val="none"/>
        <c:tickLblPos val="none"/>
        <c:spPr>
          <a:noFill/>
          <a:ln w="9525" cap="flat" cmpd="sng" algn="ctr">
            <a:solidFill>
              <a:schemeClr val="accent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766528"/>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[数据分析.xlsx]Sheet1!$H$136</c:f>
              <c:strCache>
                <c:ptCount val="1"/>
                <c:pt idx="0">
                  <c:v>硕士生毕业</c:v>
                </c:pt>
              </c:strCache>
            </c:strRef>
          </c:tx>
          <c:spPr>
            <a:ln w="28575" cap="rnd" cmpd="dbl" algn="ctr">
              <a:solidFill>
                <a:schemeClr val="accent5">
                  <a:lumMod val="75000"/>
                </a:schemeClr>
              </a:solidFill>
              <a:prstDash val="sysDot"/>
              <a:round/>
            </a:ln>
            <a:effectLst/>
          </c:spPr>
          <c:marker>
            <c:symbol val="circle"/>
            <c:size val="5"/>
            <c:spPr>
              <a:gradFill>
                <a:gsLst>
                  <a:gs pos="0">
                    <a:srgbClr val="7B32B2"/>
                  </a:gs>
                  <a:gs pos="100000">
                    <a:srgbClr val="401A5D"/>
                  </a:gs>
                </a:gsLst>
                <a:lin ang="5400000" scaled="0"/>
              </a:gradFill>
              <a:ln w="9525" cap="flat" cmpd="sng" algn="ctr">
                <a:solidFill>
                  <a:srgbClr val="7030A0"/>
                </a:solidFill>
                <a:prstDash val="solid"/>
                <a:round/>
              </a:ln>
              <a:effectLst/>
            </c:spPr>
          </c:marker>
          <c:dLbls>
            <c:dLbl>
              <c:idx val="0"/>
              <c:layout>
                <c:manualLayout>
                  <c:x val="0.000163003815686443"/>
                  <c:y val="0.024771328108018"/>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25309043591412"/>
                  <c:y val="-0.0262613401241445"/>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143163922691482"/>
                  <c:y val="0.021904916436800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182659522649781"/>
                  <c:y val="0.0517330574236937"/>
                </c:manualLayout>
              </c:layout>
              <c:showLegendKey val="0"/>
              <c:showVal val="1"/>
              <c:showCatName val="0"/>
              <c:showSerName val="0"/>
              <c:showPercent val="0"/>
              <c:showBubbleSize val="0"/>
              <c:extLst>
                <c:ext xmlns:c15="http://schemas.microsoft.com/office/drawing/2012/chart" uri="{CE6537A1-D6FC-4f65-9D91-7224C49458BB}">
                  <c15:layout>
                    <c:manualLayout>
                      <c:w val="0.059181685338529"/>
                      <c:h val="0.0962234868080704"/>
                    </c:manualLayout>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[数据分析.xlsx]Sheet1!$G$137:$G$152</c:f>
              <c:strCache>
                <c:ptCount val="16"/>
                <c:pt idx="0">
                  <c:v>理学院</c:v>
                </c:pt>
                <c:pt idx="1">
                  <c:v>设计艺术学院</c:v>
                </c:pt>
                <c:pt idx="2">
                  <c:v>法学院</c:v>
                </c:pt>
                <c:pt idx="3">
                  <c:v>外语学院</c:v>
                </c:pt>
                <c:pt idx="4">
                  <c:v>材料科学与工程学院</c:v>
                </c:pt>
                <c:pt idx="5">
                  <c:v>马克思主义学院</c:v>
                </c:pt>
                <c:pt idx="6">
                  <c:v>新闻与传播学院</c:v>
                </c:pt>
                <c:pt idx="7">
                  <c:v>电气工程学院</c:v>
                </c:pt>
                <c:pt idx="8">
                  <c:v>化学化工与环境学院</c:v>
                </c:pt>
                <c:pt idx="9">
                  <c:v>信息科学与工程学院</c:v>
                </c:pt>
                <c:pt idx="10">
                  <c:v>机电工程学院</c:v>
                </c:pt>
                <c:pt idx="11">
                  <c:v>生物工程学院</c:v>
                </c:pt>
                <c:pt idx="12">
                  <c:v>经济贸易学院</c:v>
                </c:pt>
                <c:pt idx="13">
                  <c:v>土木建筑学院</c:v>
                </c:pt>
                <c:pt idx="14">
                  <c:v>管理学院</c:v>
                </c:pt>
                <c:pt idx="15">
                  <c:v>粮油食品学院</c:v>
                </c:pt>
              </c:strCache>
            </c:strRef>
          </c:cat>
          <c:val>
            <c:numRef>
              <c:f>[数据分析.xlsx]Sheet1!$H$137:$H$152</c:f>
              <c:numCache>
                <c:formatCode>General</c:formatCode>
                <c:ptCount val="16"/>
                <c:pt idx="0">
                  <c:v>3</c:v>
                </c:pt>
                <c:pt idx="1">
                  <c:v>3</c:v>
                </c:pt>
                <c:pt idx="2">
                  <c:v>5</c:v>
                </c:pt>
                <c:pt idx="3">
                  <c:v>7</c:v>
                </c:pt>
                <c:pt idx="4">
                  <c:v>10</c:v>
                </c:pt>
                <c:pt idx="5">
                  <c:v>10</c:v>
                </c:pt>
                <c:pt idx="6">
                  <c:v>11</c:v>
                </c:pt>
                <c:pt idx="7">
                  <c:v>13</c:v>
                </c:pt>
                <c:pt idx="8">
                  <c:v>29</c:v>
                </c:pt>
                <c:pt idx="9">
                  <c:v>30</c:v>
                </c:pt>
                <c:pt idx="10">
                  <c:v>31</c:v>
                </c:pt>
                <c:pt idx="11">
                  <c:v>34</c:v>
                </c:pt>
                <c:pt idx="12">
                  <c:v>38</c:v>
                </c:pt>
                <c:pt idx="13">
                  <c:v>40</c:v>
                </c:pt>
                <c:pt idx="14">
                  <c:v>61</c:v>
                </c:pt>
                <c:pt idx="15">
                  <c:v>105</c:v>
                </c:pt>
              </c:numCache>
            </c:numRef>
          </c:val>
        </c:ser>
        <c:dLbls>
          <c:showLegendKey val="0"/>
          <c:showVal val="1"/>
          <c:showCatName val="0"/>
          <c:showSerName val="0"/>
          <c:showPercent val="0"/>
          <c:showBubbleSize val="0"/>
        </c:dLbls>
        <c:axId val="407767040"/>
        <c:axId val="366103936"/>
      </c:radarChart>
      <c:catAx>
        <c:axId val="4077670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3936"/>
        <c:crosses val="autoZero"/>
        <c:auto val="1"/>
        <c:lblAlgn val="ctr"/>
        <c:lblOffset val="100"/>
        <c:noMultiLvlLbl val="0"/>
      </c:catAx>
      <c:valAx>
        <c:axId val="3661039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in"/>
        <c:minorTickMark val="none"/>
        <c:tickLblPos val="none"/>
        <c:spPr>
          <a:noFill/>
          <a:ln w="9525" cap="flat" cmpd="sng" algn="ctr">
            <a:solidFill>
              <a:schemeClr val="accent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767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176665092111"/>
          <c:y val="0.0484154929577465"/>
          <c:w val="0.8069775288481"/>
          <c:h val="0.659507042253521"/>
        </c:manualLayout>
      </c:layout>
      <c:barChart>
        <c:barDir val="col"/>
        <c:grouping val="clustered"/>
        <c:varyColors val="0"/>
        <c:ser>
          <c:idx val="0"/>
          <c:order val="0"/>
          <c:tx>
            <c:strRef>
              <c:f>[数据分析.xlsx]Sheet1!$H$163</c:f>
              <c:strCache>
                <c:ptCount val="1"/>
                <c:pt idx="0">
                  <c:v>就业率</c:v>
                </c:pt>
              </c:strCache>
            </c:strRef>
          </c:tx>
          <c:spPr>
            <a:solidFill>
              <a:srgbClr val="E6B9B8"/>
            </a:solidFill>
            <a:ln w="12700" cap="rnd" cmpd="sng">
              <a:solidFill>
                <a:schemeClr val="accent1"/>
              </a:solidFill>
              <a:prstDash val="soli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[数据分析.xlsx]Sheet1!$G$164:$G$168</c:f>
              <c:strCache>
                <c:ptCount val="4"/>
                <c:pt idx="0">
                  <c:v>合计</c:v>
                </c:pt>
                <c:pt idx="1">
                  <c:v>硕士生毕业</c:v>
                </c:pt>
                <c:pt idx="2">
                  <c:v>本科生毕业</c:v>
                </c:pt>
                <c:pt idx="3">
                  <c:v>专科生毕业</c:v>
                </c:pt>
              </c:strCache>
            </c:strRef>
          </c:cat>
          <c:val>
            <c:numRef>
              <c:f>Sheet1!$H$164:$H$168</c:f>
              <c:numCache>
                <c:formatCode>0.00%</c:formatCode>
                <c:ptCount val="4"/>
                <c:pt idx="0">
                  <c:v>0.6366</c:v>
                </c:pt>
                <c:pt idx="1">
                  <c:v>0.814</c:v>
                </c:pt>
                <c:pt idx="2">
                  <c:v>0.6691</c:v>
                </c:pt>
                <c:pt idx="3">
                  <c:v>0.436</c:v>
                </c:pt>
              </c:numCache>
            </c:numRef>
          </c:val>
        </c:ser>
        <c:ser>
          <c:idx val="1"/>
          <c:order val="1"/>
          <c:tx>
            <c:strRef>
              <c:f>[数据分析.xlsx]Sheet1!$I$163</c:f>
              <c:strCache>
                <c:ptCount val="1"/>
                <c:pt idx="0">
                  <c:v>升学率</c:v>
                </c:pt>
              </c:strCache>
            </c:strRef>
          </c:tx>
          <c:spPr>
            <a:solidFill>
              <a:srgbClr val="D9969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[数据分析.xlsx]Sheet1!$G$164:$G$168</c:f>
              <c:strCache>
                <c:ptCount val="4"/>
                <c:pt idx="0">
                  <c:v>合计</c:v>
                </c:pt>
                <c:pt idx="1">
                  <c:v>硕士生毕业</c:v>
                </c:pt>
                <c:pt idx="2">
                  <c:v>本科生毕业</c:v>
                </c:pt>
                <c:pt idx="3">
                  <c:v>专科生毕业</c:v>
                </c:pt>
              </c:strCache>
            </c:strRef>
          </c:cat>
          <c:val>
            <c:numRef>
              <c:f>Sheet1!$I$164:$I$168</c:f>
              <c:numCache>
                <c:formatCode>0.00%</c:formatCode>
                <c:ptCount val="4"/>
                <c:pt idx="0">
                  <c:v>0.2298</c:v>
                </c:pt>
                <c:pt idx="1">
                  <c:v>0.0674</c:v>
                </c:pt>
                <c:pt idx="2">
                  <c:v>0.2206</c:v>
                </c:pt>
                <c:pt idx="3">
                  <c:v>0.3187</c:v>
                </c:pt>
              </c:numCache>
            </c:numRef>
          </c:val>
        </c:ser>
        <c:ser>
          <c:idx val="2"/>
          <c:order val="2"/>
          <c:tx>
            <c:strRef>
              <c:f>[数据分析.xlsx]Sheet1!$J$163</c:f>
              <c:strCache>
                <c:ptCount val="1"/>
                <c:pt idx="0">
                  <c:v>总就业率</c:v>
                </c:pt>
              </c:strCache>
            </c:strRef>
          </c:tx>
          <c:spPr>
            <a:solidFill>
              <a:srgbClr val="95373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[数据分析.xlsx]Sheet1!$G$164:$G$168</c:f>
              <c:strCache>
                <c:ptCount val="4"/>
                <c:pt idx="0">
                  <c:v>合计</c:v>
                </c:pt>
                <c:pt idx="1">
                  <c:v>硕士生毕业</c:v>
                </c:pt>
                <c:pt idx="2">
                  <c:v>本科生毕业</c:v>
                </c:pt>
                <c:pt idx="3">
                  <c:v>专科生毕业</c:v>
                </c:pt>
              </c:strCache>
            </c:strRef>
          </c:cat>
          <c:val>
            <c:numRef>
              <c:f>Sheet1!$J$164:$J$168</c:f>
              <c:numCache>
                <c:formatCode>0.00%</c:formatCode>
                <c:ptCount val="4"/>
                <c:pt idx="0">
                  <c:v>0.8663</c:v>
                </c:pt>
                <c:pt idx="1">
                  <c:v>0.8814</c:v>
                </c:pt>
                <c:pt idx="2">
                  <c:v>0.8896</c:v>
                </c:pt>
                <c:pt idx="3">
                  <c:v>0.7547</c:v>
                </c:pt>
              </c:numCache>
            </c:numRef>
          </c:val>
        </c:ser>
        <c:dLbls>
          <c:showLegendKey val="0"/>
          <c:showVal val="1"/>
          <c:showCatName val="0"/>
          <c:showSerName val="0"/>
          <c:showPercent val="0"/>
          <c:showBubbleSize val="0"/>
        </c:dLbls>
        <c:gapWidth val="219"/>
        <c:overlap val="-27"/>
        <c:axId val="336578048"/>
        <c:axId val="366105664"/>
      </c:barChart>
      <c:catAx>
        <c:axId val="336578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5664"/>
        <c:crosses val="autoZero"/>
        <c:auto val="1"/>
        <c:lblAlgn val="ctr"/>
        <c:lblOffset val="100"/>
        <c:noMultiLvlLbl val="0"/>
      </c:catAx>
      <c:valAx>
        <c:axId val="366105664"/>
        <c:scaling>
          <c:orientation val="minMax"/>
          <c:max val="1"/>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578048"/>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312731767614"/>
          <c:y val="0.00936329588014981"/>
          <c:w val="0.672978986402967"/>
          <c:h val="0.905885500267523"/>
        </c:manualLayout>
      </c:layout>
      <c:barChart>
        <c:barDir val="bar"/>
        <c:grouping val="clustered"/>
        <c:varyColors val="0"/>
        <c:ser>
          <c:idx val="0"/>
          <c:order val="0"/>
          <c:tx>
            <c:strRef>
              <c:f>[数据分析.xlsx]Sheet1!$H$177</c:f>
              <c:strCache>
                <c:ptCount val="1"/>
                <c:pt idx="0">
                  <c:v>总就业率</c:v>
                </c:pt>
              </c:strCache>
            </c:strRef>
          </c:tx>
          <c:spPr>
            <a:solidFill>
              <a:schemeClr val="accent1"/>
            </a:solidFill>
            <a:ln>
              <a:noFill/>
            </a:ln>
            <a:effectLst/>
          </c:spPr>
          <c:invertIfNegative val="0"/>
          <c:dLbls>
            <c:dLbl>
              <c:idx val="22"/>
              <c:layout>
                <c:manualLayout>
                  <c:x val="0"/>
                  <c:y val="-0.008034379552946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[数据分析.xlsx]Sheet1!$G$178:$G$200</c:f>
              <c:strCache>
                <c:ptCount val="23"/>
                <c:pt idx="1">
                  <c:v>合计</c:v>
                </c:pt>
                <c:pt idx="2">
                  <c:v>马克思主义学院</c:v>
                </c:pt>
                <c:pt idx="3">
                  <c:v>中英国际学院</c:v>
                </c:pt>
                <c:pt idx="4">
                  <c:v>河南辅读中等职业学校联办</c:v>
                </c:pt>
                <c:pt idx="5">
                  <c:v>国际教育学院</c:v>
                </c:pt>
                <c:pt idx="6">
                  <c:v>职业技术学院</c:v>
                </c:pt>
                <c:pt idx="7">
                  <c:v>新闻与传播学院</c:v>
                </c:pt>
                <c:pt idx="8">
                  <c:v>外语学院</c:v>
                </c:pt>
                <c:pt idx="9">
                  <c:v>应用技术职业学院</c:v>
                </c:pt>
                <c:pt idx="10">
                  <c:v>生物工程学院</c:v>
                </c:pt>
                <c:pt idx="11">
                  <c:v>法学院</c:v>
                </c:pt>
                <c:pt idx="12">
                  <c:v>电气工程学院</c:v>
                </c:pt>
                <c:pt idx="13">
                  <c:v>设计艺术学院</c:v>
                </c:pt>
                <c:pt idx="14">
                  <c:v>管理学院</c:v>
                </c:pt>
                <c:pt idx="15">
                  <c:v>化学化工与环境学院</c:v>
                </c:pt>
                <c:pt idx="16">
                  <c:v>理学院</c:v>
                </c:pt>
                <c:pt idx="17">
                  <c:v>经济贸易学院</c:v>
                </c:pt>
                <c:pt idx="18">
                  <c:v>信息科学与工程学院</c:v>
                </c:pt>
                <c:pt idx="19">
                  <c:v>土木建筑学院</c:v>
                </c:pt>
                <c:pt idx="20">
                  <c:v>材料科学与工程学院</c:v>
                </c:pt>
                <c:pt idx="21">
                  <c:v>机电工程学院</c:v>
                </c:pt>
                <c:pt idx="22">
                  <c:v>粮油食品学院</c:v>
                </c:pt>
              </c:strCache>
            </c:strRef>
          </c:cat>
          <c:val>
            <c:numRef>
              <c:f>[数据分析.xlsx]Sheet1!$H$178:$H$200</c:f>
              <c:numCache>
                <c:formatCode>General</c:formatCode>
                <c:ptCount val="23"/>
                <c:pt idx="1" c:formatCode="0.00%">
                  <c:v>0.8663</c:v>
                </c:pt>
                <c:pt idx="2" c:formatCode="0.00%">
                  <c:v>0.7</c:v>
                </c:pt>
                <c:pt idx="3" c:formatCode="0.00%">
                  <c:v>0.7485</c:v>
                </c:pt>
                <c:pt idx="4" c:formatCode="0.00%">
                  <c:v>0.7636</c:v>
                </c:pt>
                <c:pt idx="5" c:formatCode="0.00%">
                  <c:v>0.7751</c:v>
                </c:pt>
                <c:pt idx="6" c:formatCode="0.00%">
                  <c:v>0.7854</c:v>
                </c:pt>
                <c:pt idx="7" c:formatCode="0.00%">
                  <c:v>0.7935</c:v>
                </c:pt>
                <c:pt idx="8" c:formatCode="0.00%">
                  <c:v>0.8011</c:v>
                </c:pt>
                <c:pt idx="9" c:formatCode="0.00%">
                  <c:v>0.8161</c:v>
                </c:pt>
                <c:pt idx="10" c:formatCode="0.00%">
                  <c:v>0.8162</c:v>
                </c:pt>
                <c:pt idx="11" c:formatCode="0.00%">
                  <c:v>0.8374</c:v>
                </c:pt>
                <c:pt idx="12" c:formatCode="0.00%">
                  <c:v>0.8699</c:v>
                </c:pt>
                <c:pt idx="13" c:formatCode="0.00%">
                  <c:v>0.8723</c:v>
                </c:pt>
                <c:pt idx="14" c:formatCode="0.00%">
                  <c:v>0.8858</c:v>
                </c:pt>
                <c:pt idx="15" c:formatCode="0.00%">
                  <c:v>0.8957</c:v>
                </c:pt>
                <c:pt idx="16" c:formatCode="0.00%">
                  <c:v>0.9011</c:v>
                </c:pt>
                <c:pt idx="17" c:formatCode="0.00%">
                  <c:v>0.9091</c:v>
                </c:pt>
                <c:pt idx="18" c:formatCode="0.00%">
                  <c:v>0.9275</c:v>
                </c:pt>
                <c:pt idx="19" c:formatCode="0.00%">
                  <c:v>0.9307</c:v>
                </c:pt>
                <c:pt idx="20" c:formatCode="0.00%">
                  <c:v>0.9428</c:v>
                </c:pt>
                <c:pt idx="21" c:formatCode="0.00%">
                  <c:v>0.972</c:v>
                </c:pt>
                <c:pt idx="22" c:formatCode="0.00%">
                  <c:v>0.9774</c:v>
                </c:pt>
              </c:numCache>
            </c:numRef>
          </c:val>
        </c:ser>
        <c:dLbls>
          <c:showLegendKey val="0"/>
          <c:showVal val="1"/>
          <c:showCatName val="0"/>
          <c:showSerName val="0"/>
          <c:showPercent val="0"/>
          <c:showBubbleSize val="0"/>
        </c:dLbls>
        <c:gapWidth val="182"/>
        <c:axId val="408289792"/>
        <c:axId val="366107968"/>
      </c:barChart>
      <c:catAx>
        <c:axId val="408289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107968"/>
        <c:crosses val="autoZero"/>
        <c:auto val="1"/>
        <c:lblAlgn val="ctr"/>
        <c:lblOffset val="100"/>
        <c:noMultiLvlLbl val="0"/>
      </c:catAx>
      <c:valAx>
        <c:axId val="366107968"/>
        <c:scaling>
          <c:orientation val="minMax"/>
          <c:max val="1"/>
          <c:min val="0.6"/>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289792"/>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56295261085"/>
          <c:y val="0.0328211248694614"/>
          <c:w val="0.756625587600051"/>
          <c:h val="0.9233775921229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[数据分析.xlsx]Sheet1!$G$222:$G$239</c:f>
              <c:strCache>
                <c:ptCount val="18"/>
                <c:pt idx="0">
                  <c:v>合计</c:v>
                </c:pt>
                <c:pt idx="1">
                  <c:v>应用技术职业学院</c:v>
                </c:pt>
                <c:pt idx="2">
                  <c:v>设计艺术学院</c:v>
                </c:pt>
                <c:pt idx="3">
                  <c:v>新闻与传播学院</c:v>
                </c:pt>
                <c:pt idx="4">
                  <c:v>管理学院</c:v>
                </c:pt>
                <c:pt idx="5">
                  <c:v>理学院</c:v>
                </c:pt>
                <c:pt idx="6">
                  <c:v>电气工程学院</c:v>
                </c:pt>
                <c:pt idx="7">
                  <c:v>土木建筑学院</c:v>
                </c:pt>
                <c:pt idx="8">
                  <c:v>法学院</c:v>
                </c:pt>
                <c:pt idx="9">
                  <c:v>信息科学与工程学院</c:v>
                </c:pt>
                <c:pt idx="10">
                  <c:v>外语学院</c:v>
                </c:pt>
                <c:pt idx="11">
                  <c:v>机电工程学院</c:v>
                </c:pt>
                <c:pt idx="12">
                  <c:v>经济贸易学院</c:v>
                </c:pt>
                <c:pt idx="13">
                  <c:v>生物工程学院</c:v>
                </c:pt>
                <c:pt idx="14">
                  <c:v>国际教育学院</c:v>
                </c:pt>
                <c:pt idx="15">
                  <c:v>粮油食品学院</c:v>
                </c:pt>
                <c:pt idx="16">
                  <c:v>化学化工与环境学院</c:v>
                </c:pt>
                <c:pt idx="17">
                  <c:v>材料科学与工程学院</c:v>
                </c:pt>
              </c:strCache>
            </c:strRef>
          </c:cat>
          <c:val>
            <c:numRef>
              <c:f>[数据分析.xlsx]Sheet1!$H$222:$H$239</c:f>
              <c:numCache>
                <c:formatCode>0.00%</c:formatCode>
                <c:ptCount val="18"/>
                <c:pt idx="0">
                  <c:v>0.2206</c:v>
                </c:pt>
                <c:pt idx="1">
                  <c:v>0.023</c:v>
                </c:pt>
                <c:pt idx="2">
                  <c:v>0.0886</c:v>
                </c:pt>
                <c:pt idx="3">
                  <c:v>0.1218</c:v>
                </c:pt>
                <c:pt idx="4">
                  <c:v>0.139</c:v>
                </c:pt>
                <c:pt idx="5">
                  <c:v>0.1676</c:v>
                </c:pt>
                <c:pt idx="6">
                  <c:v>0.1861</c:v>
                </c:pt>
                <c:pt idx="7">
                  <c:v>0.1916</c:v>
                </c:pt>
                <c:pt idx="8">
                  <c:v>0.2034</c:v>
                </c:pt>
                <c:pt idx="9">
                  <c:v>0.2063</c:v>
                </c:pt>
                <c:pt idx="10">
                  <c:v>0.2069</c:v>
                </c:pt>
                <c:pt idx="11">
                  <c:v>0.2072</c:v>
                </c:pt>
                <c:pt idx="12">
                  <c:v>0.2073</c:v>
                </c:pt>
                <c:pt idx="13">
                  <c:v>0.256</c:v>
                </c:pt>
                <c:pt idx="14">
                  <c:v>0.2603</c:v>
                </c:pt>
                <c:pt idx="15">
                  <c:v>0.3574</c:v>
                </c:pt>
                <c:pt idx="16">
                  <c:v>0.3588</c:v>
                </c:pt>
                <c:pt idx="17">
                  <c:v>0.3665</c:v>
                </c:pt>
              </c:numCache>
            </c:numRef>
          </c:val>
        </c:ser>
        <c:dLbls>
          <c:showLegendKey val="0"/>
          <c:showVal val="1"/>
          <c:showCatName val="0"/>
          <c:showSerName val="0"/>
          <c:showPercent val="0"/>
          <c:showBubbleSize val="0"/>
        </c:dLbls>
        <c:gapWidth val="182"/>
        <c:axId val="336579584"/>
        <c:axId val="407503424"/>
      </c:barChart>
      <c:catAx>
        <c:axId val="3365795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503424"/>
        <c:crosses val="autoZero"/>
        <c:auto val="1"/>
        <c:lblAlgn val="ctr"/>
        <c:lblOffset val="100"/>
        <c:noMultiLvlLbl val="0"/>
      </c:catAx>
      <c:valAx>
        <c:axId val="407503424"/>
        <c:scaling>
          <c:orientation val="minMax"/>
          <c:min val="0"/>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657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nchor="t" anchorCtr="0"/>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24915824915825"/>
          <c:y val="0.155227545197333"/>
          <c:w val="0.883121783876501"/>
          <c:h val="0.736380952380952"/>
        </c:manualLayout>
      </c:layout>
      <c:pieChart>
        <c:varyColors val="1"/>
        <c:ser>
          <c:idx val="0"/>
          <c:order val="0"/>
          <c:spPr>
            <a:solidFill>
              <a:srgbClr val="9483DF"/>
            </a:solidFill>
            <a:ln w="19050">
              <a:solidFill>
                <a:schemeClr val="bg1"/>
              </a:solidFill>
            </a:ln>
            <a:effectLst>
              <a:outerShdw blurRad="50800" dist="38100" dir="2700000" algn="tl" rotWithShape="0">
                <a:prstClr val="black">
                  <a:alpha val="40000"/>
                </a:prstClr>
              </a:outerShdw>
            </a:effectLst>
          </c:spPr>
          <c:explosion val="0"/>
          <c:dPt>
            <c:idx val="0"/>
            <c:bubble3D val="0"/>
            <c:spPr>
              <a:solidFill>
                <a:srgbClr val="F69628"/>
              </a:solidFill>
              <a:ln w="19050">
                <a:solidFill>
                  <a:schemeClr val="bg1"/>
                </a:solidFill>
              </a:ln>
              <a:effectLst>
                <a:outerShdw blurRad="50800" dist="38100" dir="2700000" algn="tl" rotWithShape="0">
                  <a:prstClr val="black">
                    <a:alpha val="40000"/>
                  </a:prstClr>
                </a:outerShdw>
              </a:effectLst>
            </c:spPr>
          </c:dPt>
          <c:dPt>
            <c:idx val="1"/>
            <c:bubble3D val="0"/>
            <c:spPr>
              <a:solidFill>
                <a:srgbClr val="D5264A"/>
              </a:solidFill>
              <a:ln w="19050">
                <a:solidFill>
                  <a:schemeClr val="bg1"/>
                </a:solidFill>
              </a:ln>
              <a:effectLst>
                <a:outerShdw blurRad="50800" dist="38100" dir="2700000" algn="tl" rotWithShape="0">
                  <a:prstClr val="black">
                    <a:alpha val="40000"/>
                  </a:prstClr>
                </a:outerShdw>
              </a:effectLst>
            </c:spPr>
          </c:dPt>
          <c:dPt>
            <c:idx val="2"/>
            <c:bubble3D val="0"/>
            <c:spPr>
              <a:solidFill>
                <a:srgbClr val="164975"/>
              </a:solidFill>
              <a:ln w="19050">
                <a:solidFill>
                  <a:schemeClr val="bg1"/>
                </a:solidFill>
              </a:ln>
              <a:effectLst>
                <a:outerShdw blurRad="50800" dist="38100" dir="2700000" algn="tl" rotWithShape="0">
                  <a:prstClr val="black">
                    <a:alpha val="40000"/>
                  </a:prstClr>
                </a:outerShdw>
              </a:effectLst>
            </c:spPr>
          </c:dPt>
          <c:dPt>
            <c:idx val="3"/>
            <c:bubble3D val="0"/>
            <c:spPr>
              <a:solidFill>
                <a:srgbClr val="29AAD5"/>
              </a:solidFill>
              <a:ln w="19050">
                <a:solidFill>
                  <a:schemeClr val="bg1"/>
                </a:solidFill>
              </a:ln>
              <a:effectLst>
                <a:outerShdw blurRad="50800" dist="38100" dir="2700000" algn="tl" rotWithShape="0">
                  <a:prstClr val="black">
                    <a:alpha val="40000"/>
                  </a:prstClr>
                </a:outerShdw>
              </a:effectLst>
            </c:spPr>
          </c:dPt>
          <c:dLbls>
            <c:dLbl>
              <c:idx val="0"/>
              <c:layout>
                <c:manualLayout>
                  <c:x val="-0.0777396474609949"/>
                  <c:y val="0.17310346878122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99130764935775"/>
                  <c:y val="-0.062639275517822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03907620143678"/>
                  <c:y val="-0.13220098842102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[本科升学类别统计.xls]Sheet3!$D$20:$G$20</c:f>
              <c:strCache>
                <c:ptCount val="4"/>
                <c:pt idx="0">
                  <c:v>985高校</c:v>
                </c:pt>
                <c:pt idx="1">
                  <c:v>211高校</c:v>
                </c:pt>
                <c:pt idx="2">
                  <c:v>本校</c:v>
                </c:pt>
                <c:pt idx="3">
                  <c:v>其他高校</c:v>
                </c:pt>
              </c:strCache>
            </c:strRef>
          </c:cat>
          <c:val>
            <c:numRef>
              <c:f>[本科升学类别统计.xls]Sheet3!$D$21:$G$21</c:f>
              <c:numCache>
                <c:formatCode>0.00%</c:formatCode>
                <c:ptCount val="4"/>
                <c:pt idx="0">
                  <c:v>0.122743682310469</c:v>
                </c:pt>
                <c:pt idx="1">
                  <c:v>0.381949458483755</c:v>
                </c:pt>
                <c:pt idx="2">
                  <c:v>0.129241877256318</c:v>
                </c:pt>
                <c:pt idx="3">
                  <c:v>0.366064981949458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8575" cap="flat" cmpd="sng" algn="ctr">
      <a:noFill/>
      <a:prstDash val="solid"/>
      <a:round/>
    </a:ln>
    <a:effectLst/>
  </c:spPr>
  <c:txPr>
    <a:bodyPr wrap="square"/>
    <a:lstStyle/>
    <a:p>
      <a:pPr>
        <a:defRPr lang="zh-CN">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645654250239"/>
          <c:y val="0.0430379746835443"/>
          <c:w val="0.484426934097421"/>
          <c:h val="0.856025316455696"/>
        </c:manualLayout>
      </c:layout>
      <c:pieChart>
        <c:varyColors val="1"/>
        <c:ser>
          <c:idx val="0"/>
          <c:order val="0"/>
          <c:tx>
            <c:strRef>
              <c:f>Sheet1!$B$1</c:f>
              <c:strCache>
                <c:ptCount val="1"/>
                <c:pt idx="0">
                  <c:v>销售额</c:v>
                </c:pt>
              </c:strCache>
            </c:strRef>
          </c:tx>
          <c:explosion val="25"/>
          <c:dPt>
            <c:idx val="0"/>
            <c:bubble3D val="0"/>
            <c:explosion val="2"/>
          </c:dPt>
          <c:dPt>
            <c:idx val="1"/>
            <c:bubble3D val="0"/>
            <c:explosion val="2"/>
          </c:dPt>
          <c:dPt>
            <c:idx val="2"/>
            <c:bubble3D val="0"/>
            <c:explosion val="2"/>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综合招聘会</c:v>
                </c:pt>
                <c:pt idx="1">
                  <c:v>行业双选会</c:v>
                </c:pt>
                <c:pt idx="2">
                  <c:v>专场招聘会</c:v>
                </c:pt>
              </c:strCache>
            </c:strRef>
          </c:cat>
          <c:val>
            <c:numRef>
              <c:f>Sheet1!$B$2:$B$4</c:f>
              <c:numCache>
                <c:formatCode>General</c:formatCode>
                <c:ptCount val="3"/>
                <c:pt idx="0">
                  <c:v>233</c:v>
                </c:pt>
                <c:pt idx="1">
                  <c:v>666</c:v>
                </c:pt>
                <c:pt idx="2">
                  <c:v>491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0233731559417"/>
          <c:y val="0.353630020930928"/>
          <c:w val="0.292554469847896"/>
          <c:h val="0.37231328447805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E828A-8A46-4A72-96A4-273BF5B1CF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3738</Words>
  <Characters>21311</Characters>
  <Lines>177</Lines>
  <Paragraphs>49</Paragraphs>
  <TotalTime>43</TotalTime>
  <ScaleCrop>false</ScaleCrop>
  <LinksUpToDate>false</LinksUpToDate>
  <CharactersWithSpaces>25000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2019-12-17T08:50:00Z</dcterms:created>
  <dc:creator>zbq</dc:creator>
  <cp:lastModifiedBy>挚爱☞北北猪</cp:lastModifiedBy>
  <cp:lastPrinted>2019-12-02T02:40:00Z</cp:lastPrinted>
  <dcterms:modified xsi:type="dcterms:W3CDTF">2019-12-25T08:03:04Z</dcterms:modified>
  <dc:title>毕业生就业基本情况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