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83" w:rsidRDefault="00B80F6C" w:rsidP="00562583">
      <w:pPr>
        <w:widowControl/>
        <w:snapToGrid w:val="0"/>
        <w:jc w:val="center"/>
        <w:rPr>
          <w:rFonts w:ascii="微软雅黑" w:eastAsia="微软雅黑" w:hAnsi="微软雅黑" w:cs="Tahoma"/>
          <w:b/>
          <w:color w:val="222222"/>
          <w:kern w:val="0"/>
          <w:sz w:val="30"/>
          <w:szCs w:val="30"/>
        </w:rPr>
      </w:pPr>
      <w:r w:rsidRPr="00F278E6">
        <w:rPr>
          <w:rFonts w:ascii="微软雅黑" w:eastAsia="微软雅黑" w:hAnsi="微软雅黑" w:cs="Tahoma" w:hint="eastAsia"/>
          <w:b/>
          <w:color w:val="222222"/>
          <w:kern w:val="0"/>
          <w:sz w:val="30"/>
          <w:szCs w:val="30"/>
        </w:rPr>
        <w:t>中天</w:t>
      </w:r>
      <w:r w:rsidR="00562583">
        <w:rPr>
          <w:rFonts w:ascii="微软雅黑" w:eastAsia="微软雅黑" w:hAnsi="微软雅黑" w:cs="Tahoma" w:hint="eastAsia"/>
          <w:b/>
          <w:color w:val="222222"/>
          <w:kern w:val="0"/>
          <w:sz w:val="30"/>
          <w:szCs w:val="30"/>
        </w:rPr>
        <w:t>建设</w:t>
      </w:r>
      <w:bookmarkStart w:id="0" w:name="_GoBack"/>
      <w:bookmarkEnd w:id="0"/>
      <w:r w:rsidRPr="00F278E6">
        <w:rPr>
          <w:rFonts w:ascii="微软雅黑" w:eastAsia="微软雅黑" w:hAnsi="微软雅黑" w:cs="Tahoma"/>
          <w:b/>
          <w:color w:val="222222"/>
          <w:kern w:val="0"/>
          <w:sz w:val="30"/>
          <w:szCs w:val="30"/>
        </w:rPr>
        <w:t>集团</w:t>
      </w:r>
      <w:r w:rsidR="003051E3">
        <w:rPr>
          <w:rFonts w:ascii="微软雅黑" w:eastAsia="微软雅黑" w:hAnsi="微软雅黑" w:cs="Tahoma" w:hint="eastAsia"/>
          <w:b/>
          <w:color w:val="222222"/>
          <w:kern w:val="0"/>
          <w:sz w:val="30"/>
          <w:szCs w:val="30"/>
        </w:rPr>
        <w:t>有限公司</w:t>
      </w:r>
    </w:p>
    <w:p w:rsidR="0082566C" w:rsidRDefault="00B80F6C" w:rsidP="00562583">
      <w:pPr>
        <w:widowControl/>
        <w:snapToGrid w:val="0"/>
        <w:jc w:val="center"/>
        <w:rPr>
          <w:rFonts w:ascii="微软雅黑" w:eastAsia="微软雅黑" w:hAnsi="微软雅黑" w:cs="Tahoma"/>
          <w:b/>
          <w:color w:val="222222"/>
          <w:kern w:val="0"/>
          <w:sz w:val="30"/>
          <w:szCs w:val="30"/>
        </w:rPr>
      </w:pPr>
      <w:r w:rsidRPr="00F278E6">
        <w:rPr>
          <w:rFonts w:ascii="微软雅黑" w:eastAsia="微软雅黑" w:hAnsi="微软雅黑" w:cs="Tahoma" w:hint="eastAsia"/>
          <w:b/>
          <w:color w:val="222222"/>
          <w:kern w:val="0"/>
          <w:sz w:val="30"/>
          <w:szCs w:val="30"/>
        </w:rPr>
        <w:t>招聘简章</w:t>
      </w:r>
    </w:p>
    <w:p w:rsidR="0052313F" w:rsidRPr="0052313F" w:rsidRDefault="0052313F" w:rsidP="00A02762">
      <w:pPr>
        <w:widowControl/>
        <w:snapToGrid w:val="0"/>
        <w:jc w:val="center"/>
        <w:rPr>
          <w:rFonts w:ascii="微软雅黑" w:eastAsia="微软雅黑" w:hAnsi="微软雅黑" w:cs="Tahoma"/>
          <w:b/>
          <w:color w:val="222222"/>
          <w:kern w:val="0"/>
          <w:sz w:val="36"/>
          <w:szCs w:val="30"/>
        </w:rPr>
      </w:pPr>
    </w:p>
    <w:p w:rsidR="000E3924" w:rsidRPr="000E3924" w:rsidRDefault="000E3924" w:rsidP="000E3924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建设集团有限公司（简称“中天建设”）是中天控股集团的核心产业集团，以房屋建筑、基础设施建设、工程服务为主要经营业务，连续保持行业领先，通过调结构、促升级、控风险、求发展，向技术型、质量型、投融资结合型、总承包型和建筑工业化产品服务集成供应商转变。着力打造行业质量诚信的标杆企业、建筑产业现代化的领先企业、绿色建筑的示范企业，是中国建筑业协会副会长单位。</w:t>
      </w:r>
    </w:p>
    <w:p w:rsidR="000E3924" w:rsidRPr="000E3924" w:rsidRDefault="000E3924" w:rsidP="000E3924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建设坚持诚信为本、质量兴业，倡导工商文明，先后获得全国质量管理奖、全国文明单位、中华慈善奖、全国守合同重信用单位、全国建筑业诚信企业、全国建筑业AAA级信用企业、创建鲁班奖工程突出贡献奖（金奖）、新型城市化建设“十大功勋企业”、首届浙江省政府质量奖、中国建设银行总行AAA级信用企业和中国工商银行、中国银行总行级重点客户等荣誉。</w:t>
      </w:r>
    </w:p>
    <w:p w:rsidR="000E3924" w:rsidRPr="000E3924" w:rsidRDefault="000E3924" w:rsidP="000E3924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建设在1996年由地方国营建筑公司改制为股份公司，2017年引入中国建设银行全资子公司建信资本管理公司，完成混合所有制改造。具备房屋建筑工程总承包特级资质、建筑行业工程设计甲级及十几项专业资质。已有近七十年的施工经验，在国内已形成以杭州、上海、北京、西安、武汉、广州、</w:t>
      </w:r>
      <w:r w:rsidR="004765E4">
        <w:rPr>
          <w:rFonts w:ascii="微软雅黑" w:eastAsia="微软雅黑" w:hAnsi="微软雅黑" w:cs="Tahoma" w:hint="eastAsia"/>
          <w:color w:val="222222"/>
          <w:kern w:val="0"/>
          <w:szCs w:val="21"/>
        </w:rPr>
        <w:t>郑州、</w:t>
      </w: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天津、成都、沈阳等中心城市为主的区域市场，经营地域覆盖国内二十多个省、直辖市、自治区，海外业务已拓展到非洲、东盟及南亚等地。201</w:t>
      </w:r>
      <w:r w:rsidR="00EC2D7C">
        <w:rPr>
          <w:rFonts w:ascii="微软雅黑" w:eastAsia="微软雅黑" w:hAnsi="微软雅黑" w:cs="Tahoma"/>
          <w:color w:val="222222"/>
          <w:kern w:val="0"/>
          <w:szCs w:val="21"/>
        </w:rPr>
        <w:t>8</w:t>
      </w: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年，中天建设全年完成产值</w:t>
      </w:r>
      <w:r w:rsidR="00EC2D7C">
        <w:rPr>
          <w:rFonts w:ascii="微软雅黑" w:eastAsia="微软雅黑" w:hAnsi="微软雅黑" w:cs="Tahoma"/>
          <w:color w:val="222222"/>
          <w:kern w:val="0"/>
          <w:szCs w:val="21"/>
        </w:rPr>
        <w:t>1000</w:t>
      </w: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亿元，年竣工面积超2300万平方米。有中、高级工程师2400余人，有注册建造师、注册造价师、注册建筑师、注册结构师等注册类人员总计1300余人。“中天城轨”拥有10多台德国先进的海瑞克和中铁装备盾构机。</w:t>
      </w:r>
    </w:p>
    <w:p w:rsidR="000E3924" w:rsidRPr="000E3924" w:rsidRDefault="000E3924" w:rsidP="000E3924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建设倡导“每建必优、品质为先”的品质理念，共创出鲁班奖23项，省部级以上优质工程800多项，被誉为“创优大户”。近年来，公司以承接“高、大、难、新、特”项目为突破口，承建了杭州奥体博览中心主体育场、浙江省人大及政协大楼、杭州市政府办公大楼、郑州绿地中央广场、北京国际中心、上海中融-碧玉蓝天广场、上海新国际博览中心新馆、湖北省人民医院、广州长隆酒店、中国人寿大厦、东莞希尔顿酒店、海南三亚凤凰岛、昆山财富广场、包商银行大厦、网易研发中心等一大批标志性工程，承建200米以上的超高层建筑20多座。</w:t>
      </w:r>
    </w:p>
    <w:p w:rsidR="000E3924" w:rsidRPr="000E3924" w:rsidRDefault="000E3924" w:rsidP="000E3924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建设产业链服务的建设类子公司，是中天控股集团旗下企业。设计板块由“中天设计”、“中怡设计”、“天怡设计”三家综合型设计院和多家专业型设计院组成，杭州、上海两座设计研发大楼先后投入使用；“中天路桥”、“中宏路桥”两家路桥专业公司是具有公路工程施工总承包一级、市政公用工程总承包一级、隧道工程专业承包壹级、桥梁工程专业承包一级等多项一级资质的企业；“中天装饰”是中国建筑装饰百强企业，形成以建筑装饰设计与施工、智能消防、机电设备安装、园林绿化等为一体的装饰产业链；“中天幕墙”专业从事建筑幕墙和高档节能金属门窗设计、研发、制作、安装，具备单元式幕墙、框架式幕墙、断桥隔热门窗等高端幕墙、门窗年生产400万平方米的能力；“中天钢构”具备房屋建筑总承包一级资质、钢结构工程专业承包一级资质、钢结构工程专项设计甲级资质，拥</w:t>
      </w: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lastRenderedPageBreak/>
        <w:t>有行业先进的制造设备和检测设备，年生产能力超10万吨；“中天安装”具备机电、石油化工工程施工双总承包一级资质，并拥有消防、冶金、智能化、环保、电力等多项专业资质，并通过一批EPC总承包项目的实践，积累了比较丰富的机电工程总承包管理经验；“浙江坤源节能”是专业的建筑节能服务企业，以建筑节能技术产品研发制造和能源管控服务为核心，为建筑楼宇和智慧能源建设提供产品和能源管控解决方案；“上海中天绿建”专注于既有建筑的绿色改造与现代木结构建筑的建造，将低碳、节能、环保等理念融入自身的产品，通过技术创新来不断满足大众日益增长的对绿色建筑的需求。</w:t>
      </w:r>
    </w:p>
    <w:p w:rsidR="000E3924" w:rsidRPr="000E3924" w:rsidRDefault="000E3924" w:rsidP="000E3924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建设的绿色建筑工业事业部和建筑产业现代化研究院，具备装配式建筑设计和构件深化能力。中天建设已在全国布局16个新型建筑工业化基地，其中浙江德清、浙江金华、陕西西安、上海四个基地已建成投产，武汉、河北定兴等十余个基地均已开工建设。2017年，中天建设在建装配式施工项目超600万平方米。2017年，中天建设荣获国家新政策下首批国家级“装配式建筑产业基地”称号、浙江省住建厅颁发的“装配式建筑示范企业”称号。</w:t>
      </w:r>
    </w:p>
    <w:p w:rsidR="000E3924" w:rsidRPr="000E3924" w:rsidRDefault="000E3924" w:rsidP="000E3924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中天建设集团第九建设公司(以下简称“中天九建”)，为中天建设集团有限公司旗下区域公司，主要负责河南省区域内建筑市场的经营、生产和管理。自2006年9月进入河南市场以来，中天九建坚持中天集团“正道经营、客户至上”的经营理念和“每建必优、品质为先”的品质理念，先后与万科、保利、碧桂园、融创、绿地、建业、和昌、华夏幸福、海马地产等建立战略合作伙伴关系，以打造高端项目和精品工程为目标，陆续承建施工郑州绿地千玺广场、绿地•中央广场、洛阳恒和国际商务会展中心、正弘凯宾城、建业天筑、金水建业凯旋广场、建业置地广场、商丘信华国际酒店、天地湾商业广场、绿地卢浮公馆、啟福小区、海马公园等一大批标志性建筑和高端房产项目（其中超高层工程7项），并积极参与多项政府保障房项目建设。公司累计在豫承接业务量超350亿，所建工程总建筑面积达2500万平方米。承建工程已获国家鲁班奖工程1项(2015年郑州绿地千玺广场)，国家级文明工地3项，河南省中州杯优质工程16项，河南省结构中州杯59项，河南省中州平安杯6个，市级质量类荣誉91项，河南省文明工地99项，市级文明工地95项，河南省观摩工地4项，市级安全文明观摩工地33项。公司于2008年以来连续9年荣获河南省先进建筑企业、河南省建筑安全先进企业、河南省质量安全先进企业，郑州市建设工程安全管理先进企业等荣誉。</w:t>
      </w:r>
    </w:p>
    <w:p w:rsidR="00AD217F" w:rsidRPr="00AD217F" w:rsidRDefault="000E3924" w:rsidP="00EB141B">
      <w:pPr>
        <w:widowControl/>
        <w:snapToGrid w:val="0"/>
        <w:ind w:firstLineChars="200" w:firstLine="42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0E3924">
        <w:rPr>
          <w:rFonts w:ascii="微软雅黑" w:eastAsia="微软雅黑" w:hAnsi="微软雅黑" w:cs="Tahoma" w:hint="eastAsia"/>
          <w:color w:val="222222"/>
          <w:kern w:val="0"/>
          <w:szCs w:val="21"/>
        </w:rPr>
        <w:t>中天九建紧抓住国家城镇化建设和中原经济区建设的战略发展机遇，坚持中天集团“诚信、务实、敬责、协同”的核心理念和“真心缔造美好家园”的企业使命，以“优秀企业公民”的责任，扎根河南，深耕市场，敬责履约，诚信经营；项目建设中，中天九建全面综合中天建设集团各项优势资源，建立优秀管理团队，科学组织，精细管理，追求卓越，努力实现技术领先，质量领先，服务领先，实现客户满意，向着中原大地“品牌中天”的目标不断迈进</w:t>
      </w:r>
    </w:p>
    <w:p w:rsidR="00AD217F" w:rsidRPr="00455733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b/>
          <w:color w:val="222222"/>
          <w:kern w:val="0"/>
          <w:szCs w:val="21"/>
        </w:rPr>
      </w:pPr>
      <w:r w:rsidRPr="00455733">
        <w:rPr>
          <w:rFonts w:ascii="微软雅黑" w:eastAsia="微软雅黑" w:hAnsi="微软雅黑" w:cs="Tahoma" w:hint="eastAsia"/>
          <w:b/>
          <w:color w:val="222222"/>
          <w:kern w:val="0"/>
          <w:szCs w:val="21"/>
        </w:rPr>
        <w:t>企业荣誉：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一、中天集团年总产值及年销售额超</w:t>
      </w:r>
      <w:r w:rsidR="00370C95">
        <w:rPr>
          <w:rFonts w:ascii="微软雅黑" w:eastAsia="微软雅黑" w:hAnsi="微软雅黑" w:cs="Tahoma" w:hint="eastAsia"/>
          <w:color w:val="222222"/>
          <w:kern w:val="0"/>
          <w:szCs w:val="21"/>
        </w:rPr>
        <w:t>1</w:t>
      </w:r>
      <w:r w:rsidR="00597DFB">
        <w:rPr>
          <w:rFonts w:ascii="微软雅黑" w:eastAsia="微软雅黑" w:hAnsi="微软雅黑" w:cs="Tahoma"/>
          <w:color w:val="222222"/>
          <w:kern w:val="0"/>
          <w:szCs w:val="21"/>
        </w:rPr>
        <w:t>3</w:t>
      </w:r>
      <w:r w:rsidR="00370C95">
        <w:rPr>
          <w:rFonts w:ascii="微软雅黑" w:eastAsia="微软雅黑" w:hAnsi="微软雅黑" w:cs="Tahoma" w:hint="eastAsia"/>
          <w:color w:val="222222"/>
          <w:kern w:val="0"/>
          <w:szCs w:val="21"/>
        </w:rPr>
        <w:t>00</w:t>
      </w:r>
      <w:r w:rsidR="003B1964">
        <w:rPr>
          <w:rFonts w:ascii="微软雅黑" w:eastAsia="微软雅黑" w:hAnsi="微软雅黑" w:cs="Tahoma" w:hint="eastAsia"/>
          <w:color w:val="222222"/>
          <w:kern w:val="0"/>
          <w:szCs w:val="21"/>
        </w:rPr>
        <w:t>亿元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二、中国500强企业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三、中国民营企业50强</w:t>
      </w:r>
      <w:r w:rsidR="003B1964">
        <w:rPr>
          <w:rFonts w:ascii="微软雅黑" w:eastAsia="微软雅黑" w:hAnsi="微软雅黑" w:cs="Tahoma" w:hint="eastAsia"/>
          <w:color w:val="222222"/>
          <w:kern w:val="0"/>
          <w:szCs w:val="21"/>
        </w:rPr>
        <w:t>企业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lastRenderedPageBreak/>
        <w:t xml:space="preserve">    四、中国建筑业竞争力百强榜单民营企业</w:t>
      </w:r>
      <w:r w:rsidR="002F41F9">
        <w:rPr>
          <w:rFonts w:ascii="微软雅黑" w:eastAsia="微软雅黑" w:hAnsi="微软雅黑" w:cs="Tahoma" w:hint="eastAsia"/>
          <w:color w:val="222222"/>
          <w:kern w:val="0"/>
          <w:szCs w:val="21"/>
        </w:rPr>
        <w:t>多年</w:t>
      </w:r>
      <w:r w:rsidR="002F41F9">
        <w:rPr>
          <w:rFonts w:ascii="微软雅黑" w:eastAsia="微软雅黑" w:hAnsi="微软雅黑" w:cs="Tahoma"/>
          <w:color w:val="222222"/>
          <w:kern w:val="0"/>
          <w:szCs w:val="21"/>
        </w:rPr>
        <w:t>位居</w:t>
      </w: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>第1</w:t>
      </w:r>
      <w:r w:rsidR="003B1964">
        <w:rPr>
          <w:rFonts w:ascii="微软雅黑" w:eastAsia="微软雅黑" w:hAnsi="微软雅黑" w:cs="Tahoma" w:hint="eastAsia"/>
          <w:color w:val="222222"/>
          <w:kern w:val="0"/>
          <w:szCs w:val="21"/>
        </w:rPr>
        <w:t>位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五、全国文明单位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六、全国质量奖单位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七、中华慈善奖企业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八、中国优秀企业公民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九、全国守合同重信用单位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十、全国建筑业诚信企业</w:t>
      </w:r>
    </w:p>
    <w:p w:rsidR="00AD217F" w:rsidRPr="00AD217F" w:rsidRDefault="00AD217F" w:rsidP="00AD217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十一、中国工程总承包企业60强</w:t>
      </w:r>
    </w:p>
    <w:p w:rsidR="00B80F6C" w:rsidRPr="00F278E6" w:rsidRDefault="00AD217F" w:rsidP="00F278E6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Cs w:val="21"/>
        </w:rPr>
      </w:pPr>
      <w:r w:rsidRPr="00AD217F">
        <w:rPr>
          <w:rFonts w:ascii="微软雅黑" w:eastAsia="微软雅黑" w:hAnsi="微软雅黑" w:cs="Tahoma" w:hint="eastAsia"/>
          <w:color w:val="222222"/>
          <w:kern w:val="0"/>
          <w:szCs w:val="21"/>
        </w:rPr>
        <w:t xml:space="preserve">    十二、全国土木房屋建筑行业纳税第一企业</w:t>
      </w:r>
    </w:p>
    <w:p w:rsidR="00F278E6" w:rsidRPr="00F278E6" w:rsidRDefault="00B80F6C" w:rsidP="00F278E6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8"/>
          <w:szCs w:val="28"/>
        </w:rPr>
      </w:pPr>
      <w:r w:rsidRPr="00F278E6">
        <w:rPr>
          <w:rFonts w:ascii="微软雅黑" w:eastAsia="微软雅黑" w:hAnsi="微软雅黑" w:cs="Tahoma"/>
          <w:b/>
          <w:color w:val="222222"/>
          <w:kern w:val="0"/>
          <w:sz w:val="28"/>
          <w:szCs w:val="28"/>
        </w:rPr>
        <w:t>招聘</w:t>
      </w:r>
      <w:r w:rsidR="00396EB6">
        <w:rPr>
          <w:rFonts w:ascii="微软雅黑" w:eastAsia="微软雅黑" w:hAnsi="微软雅黑" w:cs="Tahoma" w:hint="eastAsia"/>
          <w:b/>
          <w:color w:val="222222"/>
          <w:kern w:val="0"/>
          <w:sz w:val="28"/>
          <w:szCs w:val="28"/>
        </w:rPr>
        <w:t>需求</w:t>
      </w:r>
      <w:r w:rsidRPr="00F278E6">
        <w:rPr>
          <w:rFonts w:ascii="微软雅黑" w:eastAsia="微软雅黑" w:hAnsi="微软雅黑" w:cs="Tahoma"/>
          <w:color w:val="222222"/>
          <w:kern w:val="0"/>
          <w:sz w:val="28"/>
          <w:szCs w:val="28"/>
        </w:rPr>
        <w:t>：</w:t>
      </w:r>
    </w:p>
    <w:p w:rsidR="003051E3" w:rsidRPr="003051E3" w:rsidRDefault="003051E3" w:rsidP="003051E3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4"/>
          <w:szCs w:val="24"/>
        </w:rPr>
      </w:pP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1、建筑施工类</w:t>
      </w:r>
    </w:p>
    <w:p w:rsidR="003051E3" w:rsidRPr="003051E3" w:rsidRDefault="003051E3" w:rsidP="003051E3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4"/>
          <w:szCs w:val="24"/>
        </w:rPr>
      </w:pP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土木工程、结构工程、工程管理、安全工程、工程造价、等施工</w:t>
      </w:r>
      <w:r w:rsidR="0055381A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管理</w:t>
      </w: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类；</w:t>
      </w:r>
    </w:p>
    <w:p w:rsidR="003051E3" w:rsidRPr="003051E3" w:rsidRDefault="003051E3" w:rsidP="003051E3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4"/>
          <w:szCs w:val="24"/>
        </w:rPr>
      </w:pP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2、设计安装</w:t>
      </w:r>
      <w:r w:rsidR="00F014E7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实验</w:t>
      </w: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类</w:t>
      </w:r>
    </w:p>
    <w:p w:rsidR="003051E3" w:rsidRPr="003051E3" w:rsidRDefault="003051E3" w:rsidP="003051E3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4"/>
          <w:szCs w:val="24"/>
        </w:rPr>
      </w:pP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BIM设计、</w:t>
      </w:r>
      <w:r w:rsidR="009E2467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无机非金属</w:t>
      </w: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、</w:t>
      </w:r>
      <w:r w:rsidR="000E3924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暖通</w:t>
      </w: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工程等设计安装</w:t>
      </w:r>
      <w:r w:rsidR="00F014E7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实验</w:t>
      </w:r>
      <w:r w:rsidR="000E3924"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类</w:t>
      </w:r>
      <w:r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；</w:t>
      </w:r>
    </w:p>
    <w:p w:rsidR="003051E3" w:rsidRPr="003051E3" w:rsidRDefault="003051E3" w:rsidP="003051E3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4"/>
          <w:szCs w:val="24"/>
        </w:rPr>
      </w:pP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3、职能管理类</w:t>
      </w:r>
    </w:p>
    <w:p w:rsidR="003C208E" w:rsidRPr="00656559" w:rsidRDefault="003051E3" w:rsidP="00AA222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4"/>
          <w:szCs w:val="24"/>
        </w:rPr>
      </w:pP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财务管理/会计学、企业管理、法律</w:t>
      </w:r>
      <w:r w:rsidR="008B4A95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、人力</w:t>
      </w:r>
      <w:r w:rsidR="000E3924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资源</w:t>
      </w:r>
      <w:r w:rsidRPr="003051E3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等职能管理类。</w:t>
      </w:r>
    </w:p>
    <w:p w:rsidR="000E3924" w:rsidRDefault="000E3924" w:rsidP="00AA222F">
      <w:pPr>
        <w:widowControl/>
        <w:snapToGrid w:val="0"/>
        <w:jc w:val="left"/>
        <w:rPr>
          <w:rFonts w:ascii="微软雅黑" w:eastAsia="微软雅黑" w:hAnsi="微软雅黑" w:cs="Tahoma"/>
          <w:b/>
          <w:color w:val="222222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222222"/>
          <w:kern w:val="0"/>
          <w:sz w:val="28"/>
          <w:szCs w:val="28"/>
        </w:rPr>
        <w:t>招聘人数及学历：</w:t>
      </w:r>
    </w:p>
    <w:p w:rsidR="000E3924" w:rsidRDefault="000E3924" w:rsidP="00AA222F">
      <w:pPr>
        <w:widowControl/>
        <w:snapToGrid w:val="0"/>
        <w:jc w:val="left"/>
        <w:rPr>
          <w:rFonts w:ascii="微软雅黑" w:eastAsia="微软雅黑" w:hAnsi="微软雅黑" w:cs="Tahoma"/>
          <w:bCs/>
          <w:color w:val="222222"/>
          <w:kern w:val="0"/>
          <w:sz w:val="24"/>
          <w:szCs w:val="24"/>
        </w:rPr>
      </w:pPr>
      <w:r w:rsidRPr="00DF557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人数不限，优秀皆可录取；学历本科，硕士各层次皆有需求。</w:t>
      </w:r>
    </w:p>
    <w:p w:rsidR="004765E4" w:rsidRPr="004765E4" w:rsidRDefault="004765E4" w:rsidP="00AA222F">
      <w:pPr>
        <w:widowControl/>
        <w:snapToGrid w:val="0"/>
        <w:jc w:val="left"/>
        <w:rPr>
          <w:rFonts w:ascii="微软雅黑" w:eastAsia="微软雅黑" w:hAnsi="微软雅黑" w:cs="Tahoma"/>
          <w:b/>
          <w:bCs/>
          <w:color w:val="222222"/>
          <w:kern w:val="0"/>
          <w:sz w:val="28"/>
          <w:szCs w:val="24"/>
        </w:rPr>
      </w:pPr>
      <w:r w:rsidRPr="004765E4">
        <w:rPr>
          <w:rFonts w:ascii="微软雅黑" w:eastAsia="微软雅黑" w:hAnsi="微软雅黑" w:cs="Tahoma" w:hint="eastAsia"/>
          <w:b/>
          <w:bCs/>
          <w:color w:val="222222"/>
          <w:kern w:val="0"/>
          <w:sz w:val="28"/>
          <w:szCs w:val="24"/>
        </w:rPr>
        <w:t>福利待遇：</w:t>
      </w:r>
    </w:p>
    <w:p w:rsidR="004765E4" w:rsidRDefault="004765E4" w:rsidP="00AA222F">
      <w:pPr>
        <w:widowControl/>
        <w:snapToGrid w:val="0"/>
        <w:jc w:val="left"/>
        <w:rPr>
          <w:rFonts w:ascii="微软雅黑" w:eastAsia="微软雅黑" w:hAnsi="微软雅黑" w:cs="Tahoma"/>
          <w:bCs/>
          <w:color w:val="222222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本科年薪5万起，硕士年薪10万起</w:t>
      </w:r>
    </w:p>
    <w:p w:rsidR="00AA222F" w:rsidRPr="00F278E6" w:rsidRDefault="00AA222F" w:rsidP="00AA222F">
      <w:pPr>
        <w:widowControl/>
        <w:snapToGrid w:val="0"/>
        <w:jc w:val="left"/>
        <w:rPr>
          <w:rFonts w:ascii="微软雅黑" w:eastAsia="微软雅黑" w:hAnsi="微软雅黑" w:cs="Tahoma"/>
          <w:color w:val="222222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222222"/>
          <w:kern w:val="0"/>
          <w:sz w:val="28"/>
          <w:szCs w:val="28"/>
        </w:rPr>
        <w:t>工作地点</w:t>
      </w:r>
      <w:r w:rsidRPr="00F278E6">
        <w:rPr>
          <w:rFonts w:ascii="微软雅黑" w:eastAsia="微软雅黑" w:hAnsi="微软雅黑" w:cs="Tahoma"/>
          <w:color w:val="222222"/>
          <w:kern w:val="0"/>
          <w:sz w:val="28"/>
          <w:szCs w:val="28"/>
        </w:rPr>
        <w:t>：</w:t>
      </w:r>
    </w:p>
    <w:p w:rsidR="003051E3" w:rsidRPr="001205C2" w:rsidRDefault="00AA222F" w:rsidP="00F278E6">
      <w:pPr>
        <w:widowControl/>
        <w:snapToGrid w:val="0"/>
        <w:jc w:val="left"/>
        <w:rPr>
          <w:rFonts w:ascii="微软雅黑" w:eastAsia="微软雅黑" w:hAnsi="微软雅黑" w:cs="Tahoma"/>
          <w:bCs/>
          <w:color w:val="222222"/>
          <w:kern w:val="0"/>
          <w:sz w:val="24"/>
          <w:szCs w:val="24"/>
        </w:rPr>
      </w:pPr>
      <w:r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河南省内</w:t>
      </w:r>
    </w:p>
    <w:p w:rsidR="00DF5572" w:rsidRPr="001205C2" w:rsidRDefault="00B80F6C" w:rsidP="00F278E6">
      <w:pPr>
        <w:widowControl/>
        <w:snapToGrid w:val="0"/>
        <w:jc w:val="left"/>
        <w:rPr>
          <w:rFonts w:ascii="微软雅黑" w:eastAsia="微软雅黑" w:hAnsi="微软雅黑" w:cs="Tahoma"/>
          <w:bCs/>
          <w:color w:val="222222"/>
          <w:kern w:val="0"/>
          <w:sz w:val="24"/>
          <w:szCs w:val="24"/>
        </w:rPr>
      </w:pPr>
      <w:r w:rsidRPr="00F278E6">
        <w:rPr>
          <w:rFonts w:ascii="微软雅黑" w:eastAsia="微软雅黑" w:hAnsi="微软雅黑" w:cs="Tahoma" w:hint="eastAsia"/>
          <w:b/>
          <w:color w:val="000000"/>
          <w:kern w:val="0"/>
          <w:sz w:val="28"/>
          <w:szCs w:val="28"/>
        </w:rPr>
        <w:t>联系人</w:t>
      </w:r>
      <w:r w:rsidRPr="00F278E6">
        <w:rPr>
          <w:rFonts w:ascii="微软雅黑" w:eastAsia="微软雅黑" w:hAnsi="微软雅黑" w:cs="Tahoma" w:hint="eastAsia"/>
          <w:color w:val="000000"/>
          <w:kern w:val="0"/>
          <w:sz w:val="28"/>
          <w:szCs w:val="28"/>
        </w:rPr>
        <w:t>：</w:t>
      </w:r>
      <w:r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杨</w:t>
      </w:r>
      <w:r w:rsidR="0089769E"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老师</w:t>
      </w:r>
      <w:r w:rsidR="00BD532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15093200636</w:t>
      </w:r>
      <w:r w:rsidR="007B5D48"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 xml:space="preserve">  </w:t>
      </w:r>
      <w:r w:rsidR="00BD532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王老师 18539400916</w:t>
      </w:r>
      <w:r w:rsidR="00BD5322" w:rsidRPr="0052313F">
        <w:rPr>
          <w:rFonts w:ascii="微软雅黑" w:eastAsia="微软雅黑" w:hAnsi="微软雅黑" w:cs="Tahoma" w:hint="eastAsia"/>
          <w:color w:val="000000"/>
          <w:kern w:val="0"/>
          <w:sz w:val="24"/>
          <w:szCs w:val="28"/>
        </w:rPr>
        <w:t>（同微信）</w:t>
      </w:r>
    </w:p>
    <w:p w:rsidR="00DF5572" w:rsidRPr="00AA222F" w:rsidRDefault="00A1147C" w:rsidP="00F278E6">
      <w:pPr>
        <w:widowControl/>
        <w:snapToGrid w:val="0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>
        <w:rPr>
          <w:rFonts w:ascii="微软雅黑" w:eastAsia="微软雅黑" w:hAnsi="微软雅黑" w:cs="Tahoma" w:hint="eastAsia"/>
          <w:b/>
          <w:color w:val="000000"/>
          <w:kern w:val="0"/>
          <w:sz w:val="28"/>
          <w:szCs w:val="28"/>
        </w:rPr>
        <w:t>网申</w:t>
      </w:r>
      <w:r w:rsidR="00DF5572" w:rsidRPr="00DF5572">
        <w:rPr>
          <w:rFonts w:ascii="微软雅黑" w:eastAsia="微软雅黑" w:hAnsi="微软雅黑" w:cs="Tahoma" w:hint="eastAsia"/>
          <w:b/>
          <w:color w:val="000000"/>
          <w:kern w:val="0"/>
          <w:sz w:val="28"/>
          <w:szCs w:val="28"/>
        </w:rPr>
        <w:t>邮箱：</w:t>
      </w:r>
      <w:hyperlink r:id="rId7" w:history="1">
        <w:r w:rsidRPr="007E38DA">
          <w:rPr>
            <w:rStyle w:val="a3"/>
            <w:rFonts w:ascii="微软雅黑" w:eastAsia="微软雅黑" w:hAnsi="微软雅黑" w:cs="Tahoma" w:hint="eastAsia"/>
            <w:kern w:val="0"/>
            <w:szCs w:val="21"/>
          </w:rPr>
          <w:t>ZT09HR@163.com</w:t>
        </w:r>
      </w:hyperlink>
      <w:r>
        <w:rPr>
          <w:rFonts w:ascii="微软雅黑" w:eastAsia="微软雅黑" w:hAnsi="微软雅黑" w:cs="Tahom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Tahoma" w:hint="eastAsia"/>
          <w:color w:val="000000"/>
          <w:kern w:val="0"/>
          <w:szCs w:val="21"/>
        </w:rPr>
        <w:t>（姓名+学校+专业）</w:t>
      </w:r>
    </w:p>
    <w:p w:rsidR="0052313F" w:rsidRPr="00EB141B" w:rsidRDefault="00B80F6C" w:rsidP="00EB141B">
      <w:pPr>
        <w:widowControl/>
        <w:snapToGrid w:val="0"/>
        <w:jc w:val="left"/>
        <w:rPr>
          <w:rFonts w:ascii="微软雅黑" w:eastAsia="微软雅黑" w:hAnsi="微软雅黑" w:cs="Tahoma"/>
          <w:bCs/>
          <w:color w:val="222222"/>
          <w:kern w:val="0"/>
          <w:sz w:val="24"/>
          <w:szCs w:val="24"/>
        </w:rPr>
      </w:pPr>
      <w:r w:rsidRPr="00F278E6">
        <w:rPr>
          <w:rFonts w:ascii="微软雅黑" w:eastAsia="微软雅黑" w:hAnsi="微软雅黑" w:cs="Tahoma" w:hint="eastAsia"/>
          <w:b/>
          <w:color w:val="000000"/>
          <w:kern w:val="0"/>
          <w:sz w:val="28"/>
          <w:szCs w:val="28"/>
        </w:rPr>
        <w:t>公司地址</w:t>
      </w:r>
      <w:r w:rsidRPr="00F278E6">
        <w:rPr>
          <w:rFonts w:ascii="微软雅黑" w:eastAsia="微软雅黑" w:hAnsi="微软雅黑" w:cs="Tahoma" w:hint="eastAsia"/>
          <w:color w:val="000000"/>
          <w:kern w:val="0"/>
          <w:sz w:val="28"/>
          <w:szCs w:val="28"/>
        </w:rPr>
        <w:t>：</w:t>
      </w:r>
      <w:r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河南省郑州市金水区金水东路</w:t>
      </w:r>
      <w:r w:rsidR="001714ED" w:rsidRPr="001205C2">
        <w:rPr>
          <w:rFonts w:ascii="微软雅黑" w:eastAsia="微软雅黑" w:hAnsi="微软雅黑" w:cs="Tahoma"/>
          <w:bCs/>
          <w:color w:val="222222"/>
          <w:kern w:val="0"/>
          <w:sz w:val="24"/>
          <w:szCs w:val="24"/>
        </w:rPr>
        <w:t>80</w:t>
      </w:r>
      <w:r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号绿地</w:t>
      </w:r>
      <w:r w:rsidR="001714ED" w:rsidRPr="001205C2">
        <w:rPr>
          <w:rFonts w:ascii="微软雅黑" w:eastAsia="微软雅黑" w:hAnsi="微软雅黑" w:cs="Tahoma" w:hint="eastAsia"/>
          <w:bCs/>
          <w:color w:val="222222"/>
          <w:kern w:val="0"/>
          <w:sz w:val="24"/>
          <w:szCs w:val="24"/>
        </w:rPr>
        <w:t>新都会</w:t>
      </w:r>
    </w:p>
    <w:sectPr w:rsidR="0052313F" w:rsidRPr="00EB141B" w:rsidSect="00D92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08" w:rsidRDefault="00940808" w:rsidP="00927CA2">
      <w:r>
        <w:separator/>
      </w:r>
    </w:p>
  </w:endnote>
  <w:endnote w:type="continuationSeparator" w:id="0">
    <w:p w:rsidR="00940808" w:rsidRDefault="00940808" w:rsidP="009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08" w:rsidRDefault="00940808" w:rsidP="00927CA2">
      <w:r>
        <w:separator/>
      </w:r>
    </w:p>
  </w:footnote>
  <w:footnote w:type="continuationSeparator" w:id="0">
    <w:p w:rsidR="00940808" w:rsidRDefault="00940808" w:rsidP="0092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4BDF"/>
    <w:multiLevelType w:val="hybridMultilevel"/>
    <w:tmpl w:val="FB688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7008A"/>
    <w:multiLevelType w:val="hybridMultilevel"/>
    <w:tmpl w:val="55609DF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ADA"/>
    <w:rsid w:val="00003B01"/>
    <w:rsid w:val="00076F05"/>
    <w:rsid w:val="00086F33"/>
    <w:rsid w:val="000A5050"/>
    <w:rsid w:val="000A6764"/>
    <w:rsid w:val="000E3924"/>
    <w:rsid w:val="001205C2"/>
    <w:rsid w:val="001714ED"/>
    <w:rsid w:val="0018648C"/>
    <w:rsid w:val="001A3118"/>
    <w:rsid w:val="002225FC"/>
    <w:rsid w:val="00236D5A"/>
    <w:rsid w:val="00257AD5"/>
    <w:rsid w:val="002602E4"/>
    <w:rsid w:val="00266E2C"/>
    <w:rsid w:val="00292D24"/>
    <w:rsid w:val="002A2ADA"/>
    <w:rsid w:val="002F41F9"/>
    <w:rsid w:val="003051E3"/>
    <w:rsid w:val="003069E9"/>
    <w:rsid w:val="00356DFE"/>
    <w:rsid w:val="00370C95"/>
    <w:rsid w:val="00396EB6"/>
    <w:rsid w:val="003B1964"/>
    <w:rsid w:val="003C208E"/>
    <w:rsid w:val="003D23A3"/>
    <w:rsid w:val="00455733"/>
    <w:rsid w:val="00460DD3"/>
    <w:rsid w:val="004765E4"/>
    <w:rsid w:val="004D7419"/>
    <w:rsid w:val="0052313F"/>
    <w:rsid w:val="00536940"/>
    <w:rsid w:val="0055381A"/>
    <w:rsid w:val="00562583"/>
    <w:rsid w:val="00585505"/>
    <w:rsid w:val="00597DFB"/>
    <w:rsid w:val="005F05D1"/>
    <w:rsid w:val="005F7242"/>
    <w:rsid w:val="00630547"/>
    <w:rsid w:val="00632969"/>
    <w:rsid w:val="00656559"/>
    <w:rsid w:val="006907F7"/>
    <w:rsid w:val="006A2579"/>
    <w:rsid w:val="007334A8"/>
    <w:rsid w:val="007B5D48"/>
    <w:rsid w:val="007E7D0E"/>
    <w:rsid w:val="00806110"/>
    <w:rsid w:val="0082566C"/>
    <w:rsid w:val="0086546C"/>
    <w:rsid w:val="0089769E"/>
    <w:rsid w:val="008B4A95"/>
    <w:rsid w:val="008C6C89"/>
    <w:rsid w:val="00927CA2"/>
    <w:rsid w:val="00930D5E"/>
    <w:rsid w:val="00940808"/>
    <w:rsid w:val="009E2467"/>
    <w:rsid w:val="00A02762"/>
    <w:rsid w:val="00A1147C"/>
    <w:rsid w:val="00A14749"/>
    <w:rsid w:val="00A22E52"/>
    <w:rsid w:val="00A43017"/>
    <w:rsid w:val="00A50C3B"/>
    <w:rsid w:val="00A742D6"/>
    <w:rsid w:val="00AA222F"/>
    <w:rsid w:val="00AD217F"/>
    <w:rsid w:val="00AD230B"/>
    <w:rsid w:val="00AD785B"/>
    <w:rsid w:val="00B166DD"/>
    <w:rsid w:val="00B41571"/>
    <w:rsid w:val="00B80F6C"/>
    <w:rsid w:val="00BA5F5A"/>
    <w:rsid w:val="00BD5322"/>
    <w:rsid w:val="00BE0593"/>
    <w:rsid w:val="00C87E4F"/>
    <w:rsid w:val="00C966C3"/>
    <w:rsid w:val="00CB52C6"/>
    <w:rsid w:val="00CE3F74"/>
    <w:rsid w:val="00D92A99"/>
    <w:rsid w:val="00DB3456"/>
    <w:rsid w:val="00DB5F47"/>
    <w:rsid w:val="00DF5572"/>
    <w:rsid w:val="00E555AA"/>
    <w:rsid w:val="00EB141B"/>
    <w:rsid w:val="00EC2D7C"/>
    <w:rsid w:val="00F014E7"/>
    <w:rsid w:val="00F020ED"/>
    <w:rsid w:val="00F11E33"/>
    <w:rsid w:val="00F278E6"/>
    <w:rsid w:val="00F5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2EFCC-E285-4DEB-8709-84E214B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217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7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7C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7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7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09H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Administrator</cp:lastModifiedBy>
  <cp:revision>41</cp:revision>
  <dcterms:created xsi:type="dcterms:W3CDTF">2017-03-28T08:43:00Z</dcterms:created>
  <dcterms:modified xsi:type="dcterms:W3CDTF">2019-09-05T02:19:00Z</dcterms:modified>
</cp:coreProperties>
</file>