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28"/>
        </w:rPr>
      </w:pPr>
      <w:r>
        <w:rPr>
          <w:rFonts w:hint="eastAsia" w:ascii="黑体" w:hAnsi="黑体" w:eastAsia="黑体" w:cs="黑体"/>
          <w:b/>
          <w:sz w:val="36"/>
          <w:szCs w:val="28"/>
        </w:rPr>
        <w:t>中铁十一局集团有限公司</w:t>
      </w:r>
    </w:p>
    <w:p>
      <w:pPr>
        <w:jc w:val="center"/>
        <w:rPr>
          <w:rFonts w:hint="eastAsia" w:ascii="黑体" w:hAnsi="黑体" w:eastAsia="黑体" w:cs="黑体"/>
          <w:b/>
          <w:sz w:val="36"/>
          <w:szCs w:val="28"/>
        </w:rPr>
      </w:pPr>
      <w:r>
        <w:rPr>
          <w:rFonts w:hint="eastAsia" w:ascii="黑体" w:hAnsi="黑体" w:eastAsia="黑体" w:cs="黑体"/>
          <w:b/>
          <w:sz w:val="36"/>
          <w:szCs w:val="28"/>
          <w:lang w:val="en-US" w:eastAsia="zh-CN"/>
        </w:rPr>
        <w:t>2020届毕业生校园</w:t>
      </w:r>
      <w:r>
        <w:rPr>
          <w:rFonts w:hint="eastAsia" w:ascii="黑体" w:hAnsi="黑体" w:eastAsia="黑体" w:cs="黑体"/>
          <w:b/>
          <w:sz w:val="36"/>
          <w:szCs w:val="28"/>
        </w:rPr>
        <w:t>招聘简章</w:t>
      </w:r>
    </w:p>
    <w:p>
      <w:pPr>
        <w:bidi w:val="0"/>
        <w:jc w:val="center"/>
        <w:rPr>
          <w:rFonts w:hint="eastAsia"/>
        </w:rPr>
      </w:pP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中铁十一局集团有</w:t>
      </w:r>
      <w:bookmarkStart w:id="0" w:name="_GoBack"/>
      <w:bookmarkEnd w:id="0"/>
      <w:r>
        <w:rPr>
          <w:rFonts w:hint="eastAsia" w:ascii="仿宋_GB2312" w:hAnsi="仿宋_GB2312" w:eastAsia="仿宋_GB2312" w:cs="仿宋_GB2312"/>
          <w:color w:val="000000"/>
          <w:sz w:val="28"/>
          <w:szCs w:val="28"/>
        </w:rPr>
        <w:t>限公司是世界500强企业—中国铁建股份有限公司的骨干企业，前身为中国人民解放军铁道兵第一师，诞生于1948年，1984年兵改工后改编为铁道部第十一工程局，1999年12月更名为中铁第十一工程局。2001年8月改制为中铁十一局集团有限公司,2008年3月随中国铁建整体上市。</w:t>
      </w:r>
    </w:p>
    <w:p>
      <w:pPr>
        <w:overflowPunct w:val="0"/>
        <w:adjustRightInd w:val="0"/>
        <w:snapToGrid w:val="0"/>
        <w:spacing w:line="5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lang w:val="en-US" w:eastAsia="zh-CN"/>
        </w:rPr>
        <w:t>组织机构全：</w:t>
      </w:r>
      <w:r>
        <w:rPr>
          <w:rFonts w:hint="eastAsia" w:ascii="仿宋_GB2312" w:hAnsi="仿宋_GB2312" w:eastAsia="仿宋_GB2312" w:cs="仿宋_GB2312"/>
          <w:color w:val="000000"/>
          <w:sz w:val="28"/>
          <w:szCs w:val="28"/>
        </w:rPr>
        <w:t>经过近70年的拼搏进取，集团公司已发展成为集施工、勘察设计、科研、装备制造、资本运营、房地产开发于一体，并具有对外经营权的特大型企业集团。集团公司下辖14个全资子公司，外设12个国内区域指挥部和</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个海外区域指挥部及新加坡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柬埔寨</w:t>
      </w:r>
      <w:r>
        <w:rPr>
          <w:rFonts w:hint="eastAsia" w:ascii="仿宋_GB2312" w:hAnsi="仿宋_GB2312" w:eastAsia="仿宋_GB2312" w:cs="仿宋_GB2312"/>
          <w:color w:val="000000"/>
          <w:sz w:val="28"/>
          <w:szCs w:val="28"/>
        </w:rPr>
        <w:t>分公司。</w:t>
      </w:r>
    </w:p>
    <w:p>
      <w:pPr>
        <w:overflowPunct w:val="0"/>
        <w:adjustRightInd w:val="0"/>
        <w:snapToGrid w:val="0"/>
        <w:spacing w:line="5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lang w:val="en-US" w:eastAsia="zh-CN"/>
        </w:rPr>
        <w:t>资质等级高：</w:t>
      </w:r>
      <w:r>
        <w:rPr>
          <w:rFonts w:hint="eastAsia" w:ascii="仿宋_GB2312" w:hAnsi="仿宋_GB2312" w:eastAsia="仿宋_GB2312" w:cs="仿宋_GB2312"/>
          <w:color w:val="000000"/>
          <w:sz w:val="28"/>
          <w:szCs w:val="28"/>
        </w:rPr>
        <w:t>集团公司具有铁路工程、房屋建筑工程、市政工程、公路工程施工总承包特级资质，</w:t>
      </w:r>
      <w:r>
        <w:rPr>
          <w:rFonts w:hint="eastAsia" w:ascii="仿宋_GB2312" w:hAnsi="仿宋_GB2312" w:eastAsia="仿宋_GB2312" w:cs="仿宋_GB2312"/>
          <w:color w:val="000000"/>
          <w:sz w:val="28"/>
          <w:szCs w:val="28"/>
          <w:lang w:val="en-US" w:eastAsia="zh-CN"/>
        </w:rPr>
        <w:t>具有</w:t>
      </w:r>
      <w:r>
        <w:rPr>
          <w:rFonts w:hint="eastAsia" w:ascii="仿宋_GB2312" w:hAnsi="仿宋_GB2312" w:eastAsia="仿宋_GB2312" w:cs="仿宋_GB2312"/>
          <w:color w:val="000000"/>
          <w:sz w:val="28"/>
          <w:szCs w:val="28"/>
        </w:rPr>
        <w:t>桥梁工程、隧道工程、公路路面工程、机场场道工程等各类资质</w:t>
      </w:r>
      <w:r>
        <w:rPr>
          <w:rFonts w:hint="eastAsia" w:ascii="仿宋_GB2312" w:hAnsi="仿宋_GB2312" w:eastAsia="仿宋_GB2312" w:cs="仿宋_GB2312"/>
          <w:color w:val="000000"/>
          <w:sz w:val="28"/>
          <w:szCs w:val="28"/>
          <w:lang w:val="en-US" w:eastAsia="zh-CN"/>
        </w:rPr>
        <w:t>142</w:t>
      </w:r>
      <w:r>
        <w:rPr>
          <w:rFonts w:hint="eastAsia" w:ascii="仿宋_GB2312" w:hAnsi="仿宋_GB2312" w:eastAsia="仿宋_GB2312" w:cs="仿宋_GB2312"/>
          <w:color w:val="000000"/>
          <w:sz w:val="28"/>
          <w:szCs w:val="28"/>
        </w:rPr>
        <w:t>项。</w:t>
      </w:r>
    </w:p>
    <w:p>
      <w:pPr>
        <w:overflowPunct w:val="0"/>
        <w:adjustRightInd w:val="0"/>
        <w:snapToGrid w:val="0"/>
        <w:spacing w:line="560" w:lineRule="exact"/>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行业地位凸显：</w:t>
      </w:r>
      <w:r>
        <w:rPr>
          <w:rFonts w:hint="eastAsia" w:ascii="仿宋_GB2312" w:hAnsi="仿宋_GB2312" w:eastAsia="仿宋_GB2312" w:cs="仿宋_GB2312"/>
          <w:color w:val="000000"/>
          <w:sz w:val="28"/>
          <w:szCs w:val="28"/>
        </w:rPr>
        <w:t>集团公司生产经营连续多年位居铁建</w:t>
      </w:r>
      <w:r>
        <w:rPr>
          <w:rFonts w:hint="eastAsia" w:ascii="仿宋_GB2312" w:hAnsi="仿宋_GB2312" w:eastAsia="仿宋_GB2312" w:cs="仿宋_GB2312"/>
          <w:color w:val="000000"/>
          <w:sz w:val="28"/>
          <w:szCs w:val="28"/>
          <w:lang w:val="en-US" w:eastAsia="zh-CN"/>
        </w:rPr>
        <w:t>前列</w:t>
      </w: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年铁建股份公司工程公司总产值20强集团入选5家，集团公司在经营承揽、完成产值</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实现利润均</w:t>
      </w:r>
      <w:r>
        <w:rPr>
          <w:rFonts w:hint="eastAsia" w:ascii="仿宋_GB2312" w:hAnsi="仿宋_GB2312" w:eastAsia="仿宋_GB2312" w:cs="仿宋_GB2312"/>
          <w:color w:val="000000"/>
          <w:sz w:val="28"/>
          <w:szCs w:val="28"/>
        </w:rPr>
        <w:t>位居</w:t>
      </w:r>
      <w:r>
        <w:rPr>
          <w:rFonts w:hint="eastAsia" w:ascii="仿宋_GB2312" w:hAnsi="仿宋_GB2312" w:eastAsia="仿宋_GB2312" w:cs="仿宋_GB2312"/>
          <w:color w:val="000000"/>
          <w:sz w:val="28"/>
          <w:szCs w:val="28"/>
          <w:lang w:val="en-US" w:eastAsia="zh-CN"/>
        </w:rPr>
        <w:t>榜首</w:t>
      </w:r>
      <w:r>
        <w:rPr>
          <w:rFonts w:hint="eastAsia" w:ascii="仿宋_GB2312" w:hAnsi="仿宋_GB2312" w:eastAsia="仿宋_GB2312" w:cs="仿宋_GB2312"/>
          <w:color w:val="000000"/>
          <w:sz w:val="28"/>
          <w:szCs w:val="28"/>
        </w:rPr>
        <w:t>。集团连续八年获中国铁建股份公司“四好”领导班子荣誉</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连续四届保持“全国文明单位”称号。</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上</w:t>
      </w:r>
      <w:r>
        <w:rPr>
          <w:rFonts w:hint="eastAsia" w:ascii="仿宋_GB2312" w:hAnsi="仿宋_GB2312" w:eastAsia="仿宋_GB2312" w:cs="仿宋_GB2312"/>
          <w:color w:val="000000"/>
          <w:sz w:val="28"/>
          <w:szCs w:val="28"/>
        </w:rPr>
        <w:t>半年集团公司荣登铁路信誉评价</w:t>
      </w:r>
      <w:r>
        <w:rPr>
          <w:rFonts w:hint="eastAsia" w:ascii="仿宋_GB2312" w:hAnsi="仿宋_GB2312" w:eastAsia="仿宋_GB2312" w:cs="仿宋_GB2312"/>
          <w:color w:val="000000"/>
          <w:sz w:val="28"/>
          <w:szCs w:val="28"/>
          <w:lang w:val="en-US" w:eastAsia="zh-CN"/>
        </w:rPr>
        <w:t>第三名</w:t>
      </w:r>
      <w:r>
        <w:rPr>
          <w:rFonts w:hint="eastAsia" w:ascii="仿宋_GB2312" w:hAnsi="仿宋_GB2312" w:eastAsia="仿宋_GB2312" w:cs="仿宋_GB2312"/>
          <w:color w:val="000000"/>
          <w:sz w:val="28"/>
          <w:szCs w:val="28"/>
        </w:rPr>
        <w:t>，集团连续</w:t>
      </w:r>
      <w:r>
        <w:rPr>
          <w:rFonts w:hint="eastAsia" w:ascii="仿宋_GB2312" w:hAnsi="仿宋_GB2312" w:eastAsia="仿宋_GB2312" w:cs="仿宋_GB2312"/>
          <w:color w:val="000000"/>
          <w:sz w:val="28"/>
          <w:szCs w:val="28"/>
          <w:lang w:val="en-US" w:eastAsia="zh-CN"/>
        </w:rPr>
        <w:t>5次、累计18次进入铁路</w:t>
      </w:r>
      <w:r>
        <w:rPr>
          <w:rFonts w:hint="eastAsia" w:ascii="仿宋_GB2312" w:hAnsi="仿宋_GB2312" w:eastAsia="仿宋_GB2312" w:cs="仿宋_GB2312"/>
          <w:color w:val="000000"/>
          <w:sz w:val="28"/>
          <w:szCs w:val="28"/>
        </w:rPr>
        <w:t>信用评价A</w:t>
      </w:r>
      <w:r>
        <w:rPr>
          <w:rFonts w:hint="eastAsia" w:ascii="仿宋_GB2312" w:hAnsi="仿宋_GB2312" w:eastAsia="仿宋_GB2312" w:cs="仿宋_GB2312"/>
          <w:color w:val="000000"/>
          <w:sz w:val="28"/>
          <w:szCs w:val="28"/>
          <w:lang w:val="en-US" w:eastAsia="zh-CN"/>
        </w:rPr>
        <w:t>级</w:t>
      </w:r>
      <w:r>
        <w:rPr>
          <w:rFonts w:hint="eastAsia" w:ascii="仿宋_GB2312" w:hAnsi="仿宋_GB2312" w:eastAsia="仿宋_GB2312" w:cs="仿宋_GB2312"/>
          <w:color w:val="000000"/>
          <w:sz w:val="28"/>
          <w:szCs w:val="28"/>
        </w:rPr>
        <w:t>企业名单，是连续获此殊荣最多的企业</w:t>
      </w:r>
      <w:r>
        <w:rPr>
          <w:rFonts w:hint="eastAsia" w:ascii="仿宋_GB2312" w:hAnsi="仿宋_GB2312" w:eastAsia="仿宋_GB2312" w:cs="仿宋_GB2312"/>
          <w:color w:val="000000"/>
          <w:sz w:val="28"/>
          <w:szCs w:val="28"/>
          <w:lang w:val="en-US" w:eastAsia="zh-CN"/>
        </w:rPr>
        <w:t>之一</w:t>
      </w:r>
      <w:r>
        <w:rPr>
          <w:rFonts w:hint="eastAsia" w:ascii="仿宋_GB2312" w:hAnsi="仿宋_GB2312" w:eastAsia="仿宋_GB2312" w:cs="仿宋_GB2312"/>
          <w:color w:val="000000"/>
          <w:sz w:val="28"/>
          <w:szCs w:val="28"/>
        </w:rPr>
        <w:t>。集团荣获公路施工企业全国综合信用评价AA级，并荣获全国建筑业先进企业荣誉称号。</w:t>
      </w:r>
    </w:p>
    <w:p>
      <w:pPr>
        <w:overflowPunct w:val="0"/>
        <w:adjustRightInd w:val="0"/>
        <w:snapToGrid w:val="0"/>
        <w:spacing w:line="5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科研平台</w:t>
      </w:r>
      <w:r>
        <w:rPr>
          <w:rFonts w:hint="eastAsia" w:ascii="仿宋_GB2312" w:hAnsi="仿宋_GB2312" w:eastAsia="仿宋_GB2312" w:cs="仿宋_GB2312"/>
          <w:b/>
          <w:color w:val="000000"/>
          <w:sz w:val="28"/>
          <w:szCs w:val="28"/>
          <w:lang w:val="en-US" w:eastAsia="zh-CN"/>
        </w:rPr>
        <w:t>层次高</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集团公司拥有国家认定企业技术中心1个，博士后科研工作站1个（在站博士后</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人），国家级工程实践教育中心1个，</w:t>
      </w:r>
      <w:r>
        <w:rPr>
          <w:rFonts w:hint="eastAsia" w:ascii="仿宋_GB2312" w:hAnsi="仿宋_GB2312" w:eastAsia="仿宋_GB2312" w:cs="仿宋_GB2312"/>
          <w:color w:val="000000"/>
          <w:sz w:val="28"/>
          <w:szCs w:val="28"/>
          <w:lang w:val="en-US" w:eastAsia="zh-CN"/>
        </w:rPr>
        <w:t>院士工作站1个，</w:t>
      </w:r>
      <w:r>
        <w:rPr>
          <w:rFonts w:hint="eastAsia" w:ascii="仿宋_GB2312" w:hAnsi="仿宋_GB2312" w:eastAsia="仿宋_GB2312" w:cs="仿宋_GB2312"/>
          <w:color w:val="000000"/>
          <w:sz w:val="28"/>
          <w:szCs w:val="28"/>
        </w:rPr>
        <w:t>省级认定企业技术中心5个，省级高新技术企业1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家。</w:t>
      </w:r>
    </w:p>
    <w:p>
      <w:pPr>
        <w:overflowPunct w:val="0"/>
        <w:adjustRightInd w:val="0"/>
        <w:snapToGrid w:val="0"/>
        <w:spacing w:line="5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科研成果丰硕：</w:t>
      </w:r>
      <w:r>
        <w:rPr>
          <w:rFonts w:hint="eastAsia" w:ascii="仿宋_GB2312" w:hAnsi="仿宋_GB2312" w:eastAsia="仿宋_GB2312" w:cs="仿宋_GB2312"/>
          <w:color w:val="000000"/>
          <w:sz w:val="28"/>
          <w:szCs w:val="28"/>
        </w:rPr>
        <w:t>集团公司荣获国家科技进步奖三项，省部级科技进步奖150余项，制定国家、行业标准20余项。获国家专利授权480项，其中发明专利64项。省部级工法110项，国家级工法16项，完成科技成果鉴定56项，成果水平均在国际先进及以上。</w:t>
      </w:r>
    </w:p>
    <w:p>
      <w:pPr>
        <w:overflowPunct w:val="0"/>
        <w:adjustRightInd w:val="0"/>
        <w:snapToGrid w:val="0"/>
        <w:spacing w:line="56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生产经营规模逐年攀升：</w:t>
      </w:r>
      <w:r>
        <w:rPr>
          <w:rFonts w:hint="eastAsia" w:ascii="仿宋_GB2312" w:hAnsi="仿宋_GB2312" w:eastAsia="仿宋_GB2312" w:cs="仿宋_GB2312"/>
          <w:color w:val="000000"/>
          <w:sz w:val="28"/>
          <w:szCs w:val="28"/>
        </w:rPr>
        <w:t>企业年施工能力</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00亿元以上，在建工程项目</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00余个，分布在全国除港澳台以外的所有省、直辖市、自治区以及海外。近三年集团公司经营承揽和生产规模逐年扩大，生产经营规模分别保持在</w:t>
      </w:r>
      <w:r>
        <w:rPr>
          <w:rFonts w:hint="eastAsia" w:ascii="仿宋_GB2312" w:hAnsi="仿宋_GB2312" w:eastAsia="仿宋_GB2312" w:cs="仿宋_GB2312"/>
          <w:color w:val="000000"/>
          <w:sz w:val="28"/>
          <w:szCs w:val="28"/>
          <w:lang w:val="en-US" w:eastAsia="zh-CN"/>
        </w:rPr>
        <w:t>600</w:t>
      </w:r>
      <w:r>
        <w:rPr>
          <w:rFonts w:hint="eastAsia" w:ascii="仿宋_GB2312" w:hAnsi="仿宋_GB2312" w:eastAsia="仿宋_GB2312" w:cs="仿宋_GB2312"/>
          <w:color w:val="000000"/>
          <w:sz w:val="28"/>
          <w:szCs w:val="28"/>
        </w:rPr>
        <w:t>亿、</w:t>
      </w:r>
      <w:r>
        <w:rPr>
          <w:rFonts w:hint="eastAsia" w:ascii="仿宋_GB2312" w:hAnsi="仿宋_GB2312" w:eastAsia="仿宋_GB2312" w:cs="仿宋_GB2312"/>
          <w:color w:val="000000"/>
          <w:sz w:val="28"/>
          <w:szCs w:val="28"/>
          <w:lang w:val="en-US" w:eastAsia="zh-CN"/>
        </w:rPr>
        <w:t>85</w:t>
      </w:r>
      <w:r>
        <w:rPr>
          <w:rFonts w:hint="eastAsia" w:ascii="仿宋_GB2312" w:hAnsi="仿宋_GB2312" w:eastAsia="仿宋_GB2312" w:cs="仿宋_GB2312"/>
          <w:color w:val="000000"/>
          <w:sz w:val="28"/>
          <w:szCs w:val="28"/>
        </w:rPr>
        <w:t>0亿元以上，201</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年集团公司经营承揽及产值规模分别达到</w:t>
      </w:r>
      <w:r>
        <w:rPr>
          <w:rFonts w:hint="eastAsia" w:ascii="仿宋_GB2312" w:hAnsi="仿宋_GB2312" w:eastAsia="仿宋_GB2312" w:cs="仿宋_GB2312"/>
          <w:color w:val="000000"/>
          <w:sz w:val="28"/>
          <w:szCs w:val="28"/>
          <w:lang w:val="en-US" w:eastAsia="zh-CN"/>
        </w:rPr>
        <w:t>850.69</w:t>
      </w:r>
      <w:r>
        <w:rPr>
          <w:rFonts w:hint="eastAsia" w:ascii="仿宋_GB2312" w:hAnsi="仿宋_GB2312" w:eastAsia="仿宋_GB2312" w:cs="仿宋_GB2312"/>
          <w:color w:val="000000"/>
          <w:sz w:val="28"/>
          <w:szCs w:val="28"/>
        </w:rPr>
        <w:t>亿、6</w:t>
      </w:r>
      <w:r>
        <w:rPr>
          <w:rFonts w:hint="eastAsia" w:ascii="仿宋_GB2312" w:hAnsi="仿宋_GB2312" w:eastAsia="仿宋_GB2312" w:cs="仿宋_GB2312"/>
          <w:color w:val="000000"/>
          <w:sz w:val="28"/>
          <w:szCs w:val="28"/>
          <w:lang w:val="en-US" w:eastAsia="zh-CN"/>
        </w:rPr>
        <w:t>03</w:t>
      </w:r>
      <w:r>
        <w:rPr>
          <w:rFonts w:hint="eastAsia" w:ascii="仿宋_GB2312" w:hAnsi="仿宋_GB2312" w:eastAsia="仿宋_GB2312" w:cs="仿宋_GB2312"/>
          <w:color w:val="000000"/>
          <w:sz w:val="28"/>
          <w:szCs w:val="28"/>
        </w:rPr>
        <w:t>亿，</w:t>
      </w:r>
      <w:r>
        <w:rPr>
          <w:rFonts w:hint="eastAsia" w:ascii="仿宋_GB2312" w:hAnsi="仿宋_GB2312" w:eastAsia="仿宋_GB2312" w:cs="仿宋_GB2312"/>
          <w:color w:val="000000"/>
          <w:sz w:val="28"/>
          <w:szCs w:val="28"/>
          <w:lang w:val="en-US" w:eastAsia="zh-CN"/>
        </w:rPr>
        <w:t>实现净利润13.42亿元，</w:t>
      </w:r>
      <w:r>
        <w:rPr>
          <w:rFonts w:hint="eastAsia" w:ascii="仿宋_GB2312" w:hAnsi="仿宋_GB2312" w:eastAsia="仿宋_GB2312" w:cs="仿宋_GB2312"/>
          <w:color w:val="000000"/>
          <w:sz w:val="28"/>
          <w:szCs w:val="28"/>
        </w:rPr>
        <w:t>在中国铁建系统名列前茅。</w:t>
      </w:r>
    </w:p>
    <w:p>
      <w:pPr>
        <w:overflowPunct w:val="0"/>
        <w:adjustRightInd w:val="0"/>
        <w:snapToGrid w:val="0"/>
        <w:spacing w:line="560" w:lineRule="exact"/>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人才培养机制</w:t>
      </w:r>
      <w:r>
        <w:rPr>
          <w:rFonts w:hint="eastAsia" w:ascii="仿宋_GB2312" w:hAnsi="仿宋_GB2312" w:eastAsia="仿宋_GB2312" w:cs="仿宋_GB2312"/>
          <w:b/>
          <w:color w:val="000000"/>
          <w:sz w:val="28"/>
          <w:szCs w:val="28"/>
          <w:lang w:val="en-US" w:eastAsia="zh-CN"/>
        </w:rPr>
        <w:t>健全</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集团公司现有正式员工</w:t>
      </w:r>
      <w:r>
        <w:rPr>
          <w:rFonts w:hint="eastAsia" w:ascii="仿宋_GB2312" w:hAnsi="仿宋_GB2312" w:eastAsia="仿宋_GB2312" w:cs="仿宋_GB2312"/>
          <w:sz w:val="28"/>
          <w:szCs w:val="28"/>
          <w:lang w:val="en-US" w:eastAsia="zh-CN"/>
        </w:rPr>
        <w:t>18836</w:t>
      </w:r>
      <w:r>
        <w:rPr>
          <w:rFonts w:hint="eastAsia" w:ascii="仿宋_GB2312" w:hAnsi="仿宋_GB2312" w:eastAsia="仿宋_GB2312" w:cs="仿宋_GB2312"/>
          <w:color w:val="000000"/>
          <w:sz w:val="28"/>
          <w:szCs w:val="28"/>
        </w:rPr>
        <w:t>人，其中高级</w:t>
      </w:r>
      <w:r>
        <w:rPr>
          <w:rFonts w:hint="eastAsia" w:ascii="仿宋_GB2312" w:hAnsi="仿宋_GB2312" w:eastAsia="仿宋_GB2312" w:cs="仿宋_GB2312"/>
          <w:color w:val="000000"/>
          <w:sz w:val="28"/>
          <w:szCs w:val="28"/>
          <w:lang w:val="en-US" w:eastAsia="zh-CN"/>
        </w:rPr>
        <w:t>及以上</w:t>
      </w:r>
      <w:r>
        <w:rPr>
          <w:rFonts w:hint="eastAsia" w:ascii="仿宋_GB2312" w:hAnsi="仿宋_GB2312" w:eastAsia="仿宋_GB2312" w:cs="仿宋_GB2312"/>
          <w:color w:val="000000"/>
          <w:sz w:val="28"/>
          <w:szCs w:val="28"/>
        </w:rPr>
        <w:t>职称人员</w:t>
      </w:r>
      <w:r>
        <w:rPr>
          <w:rFonts w:hint="eastAsia" w:ascii="仿宋_GB2312" w:hAnsi="仿宋_GB2312" w:eastAsia="仿宋_GB2312" w:cs="仿宋_GB2312"/>
          <w:sz w:val="28"/>
          <w:szCs w:val="28"/>
          <w:lang w:val="en-US" w:eastAsia="zh-CN"/>
        </w:rPr>
        <w:t>1128</w:t>
      </w:r>
      <w:r>
        <w:rPr>
          <w:rFonts w:hint="eastAsia" w:ascii="仿宋_GB2312" w:hAnsi="仿宋_GB2312" w:eastAsia="仿宋_GB2312" w:cs="仿宋_GB2312"/>
          <w:color w:val="000000"/>
          <w:sz w:val="28"/>
          <w:szCs w:val="28"/>
        </w:rPr>
        <w:t>人，拥有注册执业资格人员1200余人，享受国务院特殊津贴9人，21人获詹天佑、茅以升铁道工程师</w:t>
      </w:r>
      <w:r>
        <w:rPr>
          <w:rFonts w:hint="eastAsia" w:ascii="仿宋_GB2312" w:hAnsi="仿宋_GB2312" w:eastAsia="仿宋_GB2312" w:cs="仿宋_GB2312"/>
          <w:color w:val="000000"/>
          <w:sz w:val="28"/>
          <w:szCs w:val="28"/>
          <w:lang w:val="en-US" w:eastAsia="zh-CN"/>
        </w:rPr>
        <w:t>大奖</w:t>
      </w:r>
      <w:r>
        <w:rPr>
          <w:rFonts w:hint="eastAsia" w:ascii="仿宋_GB2312" w:hAnsi="仿宋_GB2312" w:eastAsia="仿宋_GB2312" w:cs="仿宋_GB2312"/>
          <w:color w:val="000000"/>
          <w:sz w:val="28"/>
          <w:szCs w:val="28"/>
        </w:rPr>
        <w:t>。集团公司着力打造人才队伍多元化发展，人才专业化、专家化，建立了行政、职能、技术、经营、项目、技能、服务共七类职业发展通道，拓宽了人才队伍发展渠道。集团培养“工程技术专家、专职项目经理、专职项目总工、专职项目书记”多元化的人才发展通道，构建了完善的人才培养机制。</w:t>
      </w:r>
    </w:p>
    <w:p>
      <w:pPr>
        <w:overflowPunct w:val="0"/>
        <w:adjustRightInd w:val="0"/>
        <w:snapToGrid w:val="0"/>
        <w:spacing w:line="560" w:lineRule="exact"/>
        <w:ind w:firstLine="267" w:firstLineChars="95"/>
        <w:jc w:val="center"/>
        <w:rPr>
          <w:rFonts w:hint="default"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rPr>
        <w:t>招聘单位</w:t>
      </w:r>
      <w:r>
        <w:rPr>
          <w:rFonts w:hint="eastAsia" w:ascii="仿宋_GB2312" w:hAnsi="仿宋_GB2312" w:eastAsia="仿宋_GB2312" w:cs="仿宋_GB2312"/>
          <w:b/>
          <w:color w:val="000000"/>
          <w:sz w:val="28"/>
          <w:szCs w:val="28"/>
          <w:lang w:val="en-US" w:eastAsia="zh-CN"/>
        </w:rPr>
        <w:t>分布</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中铁十一局</w:t>
      </w:r>
      <w:r>
        <w:rPr>
          <w:rFonts w:hint="eastAsia" w:ascii="仿宋_GB2312" w:hAnsi="仿宋_GB2312" w:eastAsia="仿宋_GB2312" w:cs="仿宋_GB2312"/>
          <w:color w:val="000000"/>
          <w:sz w:val="28"/>
          <w:szCs w:val="28"/>
        </w:rPr>
        <w:t>博士后科研工作站（桥梁、</w:t>
      </w:r>
      <w:r>
        <w:rPr>
          <w:rFonts w:hint="eastAsia" w:ascii="仿宋_GB2312" w:hAnsi="仿宋_GB2312" w:eastAsia="仿宋_GB2312" w:cs="仿宋_GB2312"/>
          <w:color w:val="000000"/>
          <w:sz w:val="28"/>
          <w:szCs w:val="28"/>
          <w:lang w:val="en-US" w:eastAsia="zh-CN"/>
        </w:rPr>
        <w:t>材料、</w:t>
      </w:r>
      <w:r>
        <w:rPr>
          <w:rFonts w:hint="eastAsia" w:ascii="仿宋_GB2312" w:hAnsi="仿宋_GB2312" w:eastAsia="仿宋_GB2312" w:cs="仿宋_GB2312"/>
          <w:color w:val="000000"/>
          <w:sz w:val="28"/>
          <w:szCs w:val="28"/>
        </w:rPr>
        <w:t>地质工程博士）</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第一工程有限公司  湖北襄阳 </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第二工程有限公司  湖北十堰</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第三工程有限公司  湖北十堰</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第四工程有限公司  湖北武汉</w:t>
      </w:r>
    </w:p>
    <w:p>
      <w:pPr>
        <w:ind w:firstLine="280" w:firstLineChars="1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第五工程有限公司  重庆</w:t>
      </w:r>
      <w:r>
        <w:rPr>
          <w:rFonts w:hint="eastAsia" w:ascii="仿宋_GB2312" w:hAnsi="仿宋_GB2312" w:eastAsia="仿宋_GB2312" w:cs="仿宋_GB2312"/>
          <w:color w:val="000000"/>
          <w:sz w:val="28"/>
          <w:szCs w:val="28"/>
          <w:lang w:val="en-US" w:eastAsia="zh-CN"/>
        </w:rPr>
        <w:t>沙坪坝</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第六工程有限公司  湖北襄阳</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电务工程有限公司  湖北武汉</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建筑安装工程有限公司  湖北武汉</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桥梁有限公司（物贸公司）  江西鹰潭</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城市轨道工程有限公司  湖北武汉</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房地产开发有限公司</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建筑学、城市规划、园林、装饰工程、市场营销、土地资源管理、公司法</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 xml:space="preserve">  湖北武汉</w:t>
      </w:r>
    </w:p>
    <w:p>
      <w:pPr>
        <w:widowControl/>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勘察设计院（铁道、</w:t>
      </w:r>
      <w:r>
        <w:rPr>
          <w:rFonts w:hint="eastAsia" w:ascii="仿宋_GB2312" w:hAnsi="仿宋_GB2312" w:eastAsia="仿宋_GB2312" w:cs="仿宋_GB2312"/>
          <w:color w:val="000000"/>
          <w:sz w:val="28"/>
          <w:szCs w:val="28"/>
          <w:lang w:val="en-US" w:eastAsia="zh-CN"/>
        </w:rPr>
        <w:t>桥梁</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建筑学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建环硕士</w:t>
      </w:r>
      <w:r>
        <w:rPr>
          <w:rFonts w:hint="eastAsia" w:ascii="仿宋_GB2312" w:hAnsi="仿宋_GB2312" w:eastAsia="仿宋_GB2312" w:cs="仿宋_GB2312"/>
          <w:color w:val="000000"/>
          <w:sz w:val="28"/>
          <w:szCs w:val="28"/>
        </w:rPr>
        <w:t>）  湖北武汉</w:t>
      </w:r>
    </w:p>
    <w:p>
      <w:pPr>
        <w:widowControl/>
        <w:ind w:firstLine="280" w:firstLineChars="1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投资公司（投资学硕士）</w:t>
      </w:r>
      <w:r>
        <w:rPr>
          <w:rFonts w:hint="eastAsia" w:ascii="仿宋_GB2312" w:hAnsi="仿宋_GB2312" w:eastAsia="仿宋_GB2312" w:cs="仿宋_GB2312"/>
          <w:color w:val="000000"/>
          <w:sz w:val="28"/>
          <w:szCs w:val="28"/>
        </w:rPr>
        <w:t xml:space="preserve">  湖北武汉</w:t>
      </w:r>
    </w:p>
    <w:p>
      <w:pPr>
        <w:widowControl/>
        <w:ind w:firstLine="280" w:firstLineChars="1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汉江重工（工程机械液压、弱电、电气、设计方向）湖北武汉</w:t>
      </w:r>
    </w:p>
    <w:p>
      <w:pPr>
        <w:overflowPunct w:val="0"/>
        <w:adjustRightInd w:val="0"/>
        <w:snapToGrid w:val="0"/>
        <w:spacing w:line="560" w:lineRule="exact"/>
        <w:jc w:val="center"/>
        <w:outlineLvl w:val="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201</w:t>
      </w:r>
      <w:r>
        <w:rPr>
          <w:rFonts w:hint="eastAsia" w:asciiTheme="minorEastAsia" w:hAnsiTheme="minorEastAsia" w:eastAsiaTheme="minorEastAsia"/>
          <w:b/>
          <w:color w:val="000000"/>
          <w:sz w:val="28"/>
          <w:szCs w:val="28"/>
          <w:lang w:val="en-US" w:eastAsia="zh-CN"/>
        </w:rPr>
        <w:t>9</w:t>
      </w:r>
      <w:r>
        <w:rPr>
          <w:rFonts w:hint="eastAsia" w:asciiTheme="minorEastAsia" w:hAnsiTheme="minorEastAsia" w:eastAsiaTheme="minorEastAsia"/>
          <w:b/>
          <w:color w:val="000000"/>
          <w:sz w:val="28"/>
          <w:szCs w:val="28"/>
        </w:rPr>
        <w:t>年秋季招聘专业</w:t>
      </w:r>
    </w:p>
    <w:p>
      <w:pPr>
        <w:overflowPunct w:val="0"/>
        <w:adjustRightInd w:val="0"/>
        <w:snapToGrid w:val="0"/>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招聘岗位：工程技术岗、工程测量岗、试验检测岗、物资管理岗、设备管理岗、机电技术岗、安全管理岗、经济管理岗、财务管理岗、行政管理岗、企业法务岗等。</w:t>
      </w:r>
    </w:p>
    <w:p>
      <w:pPr>
        <w:overflowPunct w:val="0"/>
        <w:adjustRightInd w:val="0"/>
        <w:snapToGrid w:val="0"/>
        <w:spacing w:line="560" w:lineRule="exact"/>
        <w:ind w:firstLine="560" w:firstLineChars="200"/>
        <w:rPr>
          <w:rFonts w:asciiTheme="minorEastAsia" w:hAnsiTheme="minorEastAsia" w:eastAsiaTheme="minorEastAsia"/>
          <w:color w:val="000000"/>
          <w:sz w:val="28"/>
          <w:szCs w:val="28"/>
        </w:rPr>
      </w:pPr>
      <w:r>
        <w:rPr>
          <w:rFonts w:hint="eastAsia" w:ascii="仿宋_GB2312" w:hAnsi="仿宋_GB2312" w:eastAsia="仿宋_GB2312" w:cs="仿宋_GB2312"/>
          <w:color w:val="000000"/>
          <w:sz w:val="28"/>
          <w:szCs w:val="28"/>
          <w:lang w:val="en-US" w:eastAsia="zh-CN"/>
        </w:rPr>
        <w:t>招聘专业：</w:t>
      </w:r>
      <w:r>
        <w:rPr>
          <w:rFonts w:hint="eastAsia" w:ascii="仿宋_GB2312" w:hAnsi="仿宋_GB2312" w:eastAsia="仿宋_GB2312" w:cs="仿宋_GB2312"/>
          <w:color w:val="000000"/>
          <w:sz w:val="28"/>
          <w:szCs w:val="28"/>
        </w:rPr>
        <w:t>岩土工程、结构工程、铁道工程、桥梁工程、隧道工程、道路工程、工民建、工程管理、机电一体化、电气自动化、建筑工程、安全工程、供电工程、通信工程、建筑电气、工程测量、建筑材料、物资管理等土木工程及相关专业，及会计、中文、法律、人力资源管理等行政、经营、管理</w:t>
      </w:r>
      <w:r>
        <w:rPr>
          <w:rFonts w:hint="eastAsia" w:ascii="仿宋_GB2312" w:hAnsi="仿宋_GB2312" w:eastAsia="仿宋_GB2312" w:cs="仿宋_GB2312"/>
          <w:color w:val="000000"/>
          <w:sz w:val="28"/>
          <w:szCs w:val="28"/>
          <w:lang w:val="en-US" w:eastAsia="zh-CN"/>
        </w:rPr>
        <w:t>相关专业</w:t>
      </w:r>
      <w:r>
        <w:rPr>
          <w:rFonts w:hint="eastAsia" w:ascii="仿宋_GB2312" w:hAnsi="仿宋_GB2312" w:eastAsia="仿宋_GB2312" w:cs="仿宋_GB2312"/>
          <w:color w:val="000000"/>
          <w:sz w:val="28"/>
          <w:szCs w:val="28"/>
        </w:rPr>
        <w:t>。</w:t>
      </w:r>
    </w:p>
    <w:p>
      <w:pPr>
        <w:overflowPunct w:val="0"/>
        <w:adjustRightInd w:val="0"/>
        <w:snapToGrid w:val="0"/>
        <w:spacing w:line="56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招聘基本条件要求</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1.应届本科、硕士、博士毕业生，毕业后能获得本科及以上学历证书，专业理论知识扎实，实践能力突出，专业对口，重点学科专业、双学位（专业）优先。</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2.身体健康，无严重疾病、传染病和精神病史，身体素质良好，品行端正，中共党员及学生会干部优先考虑；道德品质优秀，行为习惯良好，劳动观念强，在校期间无违纪记录。</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3.学习成绩优良，已修完学校规定的文化基础、专业理论和实践课程并考核合格，能够适应建筑企业流动性工作性质。</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4.参加招聘会时请</w:t>
      </w:r>
      <w:r>
        <w:rPr>
          <w:rFonts w:hint="eastAsia" w:ascii="仿宋_GB2312" w:hAnsi="仿宋_GB2312" w:eastAsia="仿宋_GB2312" w:cs="仿宋_GB2312"/>
          <w:color w:val="FF0000"/>
          <w:sz w:val="28"/>
          <w:szCs w:val="28"/>
          <w:lang w:val="en-US" w:eastAsia="zh-CN"/>
        </w:rPr>
        <w:t>携带个人简历及推荐表、成绩单、获奖证书等资料的原件及复印件（推荐表、成绩单须加盖学院公章）</w:t>
      </w:r>
      <w:r>
        <w:rPr>
          <w:rFonts w:hint="eastAsia" w:ascii="仿宋_GB2312" w:hAnsi="仿宋_GB2312" w:eastAsia="仿宋_GB2312" w:cs="仿宋_GB2312"/>
          <w:color w:val="000000"/>
          <w:sz w:val="28"/>
          <w:szCs w:val="28"/>
          <w:lang w:val="en-US" w:eastAsia="zh-CN"/>
        </w:rPr>
        <w:t>。网上投递简历请将个人简历、成绩单、获奖证书等电子材料投递至邮箱：</w:t>
      </w:r>
      <w:r>
        <w:rPr>
          <w:rFonts w:hint="eastAsia" w:ascii="仿宋_GB2312" w:hAnsi="仿宋_GB2312" w:eastAsia="仿宋_GB2312" w:cs="仿宋_GB2312"/>
          <w:color w:val="000000"/>
          <w:sz w:val="28"/>
          <w:szCs w:val="28"/>
          <w:lang w:val="en-US" w:eastAsia="zh-CN"/>
        </w:rPr>
        <w:fldChar w:fldCharType="begin"/>
      </w:r>
      <w:r>
        <w:rPr>
          <w:rFonts w:hint="eastAsia" w:ascii="仿宋_GB2312" w:hAnsi="仿宋_GB2312" w:eastAsia="仿宋_GB2312" w:cs="仿宋_GB2312"/>
          <w:color w:val="000000"/>
          <w:sz w:val="28"/>
          <w:szCs w:val="28"/>
          <w:lang w:val="en-US" w:eastAsia="zh-CN"/>
        </w:rPr>
        <w:instrText xml:space="preserve"> HYPERLINK "mailto:huxiaoyin@cr11g.com.cn" </w:instrText>
      </w:r>
      <w:r>
        <w:rPr>
          <w:rFonts w:hint="eastAsia" w:ascii="仿宋_GB2312" w:hAnsi="仿宋_GB2312" w:eastAsia="仿宋_GB2312" w:cs="仿宋_GB2312"/>
          <w:color w:val="000000"/>
          <w:sz w:val="28"/>
          <w:szCs w:val="28"/>
          <w:lang w:val="en-US" w:eastAsia="zh-CN"/>
        </w:rPr>
        <w:fldChar w:fldCharType="separate"/>
      </w:r>
      <w:r>
        <w:rPr>
          <w:rFonts w:hint="eastAsia" w:ascii="仿宋_GB2312" w:hAnsi="仿宋_GB2312" w:eastAsia="仿宋_GB2312" w:cs="仿宋_GB2312"/>
          <w:color w:val="000000"/>
          <w:sz w:val="28"/>
          <w:szCs w:val="28"/>
          <w:lang w:val="en-US" w:eastAsia="zh-CN"/>
        </w:rPr>
        <w:t>huxiaoyin@cr11g.com.cn</w:t>
      </w:r>
      <w:r>
        <w:rPr>
          <w:rFonts w:hint="eastAsia" w:ascii="仿宋_GB2312" w:hAnsi="仿宋_GB2312" w:eastAsia="仿宋_GB2312" w:cs="仿宋_GB2312"/>
          <w:color w:val="000000"/>
          <w:sz w:val="28"/>
          <w:szCs w:val="28"/>
          <w:lang w:val="en-US" w:eastAsia="zh-CN"/>
        </w:rPr>
        <w:fldChar w:fldCharType="end"/>
      </w:r>
      <w:r>
        <w:rPr>
          <w:rFonts w:hint="eastAsia" w:ascii="仿宋_GB2312" w:hAnsi="仿宋_GB2312" w:eastAsia="仿宋_GB2312" w:cs="仿宋_GB2312"/>
          <w:color w:val="000000"/>
          <w:sz w:val="28"/>
          <w:szCs w:val="28"/>
          <w:lang w:val="en-US" w:eastAsia="zh-CN"/>
        </w:rPr>
        <w:t>. 邮件名称格式：学校+专业+姓名；现场宣讲将以具体企业邮箱发送回复邮件及院校就业网公布信息为准。</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5.应聘资料须真实有效，应聘资料恕不退还，请保持通讯工具畅通。经网络筛选简历，成绩优异且受邀到参加面试的同学，非个人原因不同意签约的，可提供往返差旅费补助。</w:t>
      </w:r>
    </w:p>
    <w:p>
      <w:pPr>
        <w:overflowPunct w:val="0"/>
        <w:adjustRightInd w:val="0"/>
        <w:snapToGrid w:val="0"/>
        <w:spacing w:line="56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毕业生相关待遇</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博士后的薪酬以基本月薪加奖金的形式支付，基本月薪、奖金参照《中铁十一局集团博士后科研工作站管理暂行办法》执行，年薪税前不低于20万元，详细待遇面谈。勘察设计院、汉江重工、投资公司招聘的毕业生需为硕士及以上学历。</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2.吸引更多的优秀毕业生到集团公司，对所招聘学生发放一次性入职安家费补贴，最低标准为：本科生5000元，研究生7000元，博士生200000元。</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3.待遇问题：见习期工资按转正定级后的薪酬标准发放，本科见习期年薪酬水平税前不低于7.5万。</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4.户口档案问题：户口是随分配单位走，学生户口可选择落在单位驻地，也可回原籍。报到证需派遣到中铁十一局，档案必须派到集团公司。</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联系人：胡老师   027-88710991</w:t>
      </w:r>
    </w:p>
    <w:p>
      <w:pPr>
        <w:overflowPunct w:val="0"/>
        <w:adjustRightInd w:val="0"/>
        <w:snapToGrid w:val="0"/>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李老师   15271029326 </w:t>
      </w:r>
    </w:p>
    <w:p>
      <w:pPr>
        <w:overflowPunct w:val="0"/>
        <w:adjustRightInd w:val="0"/>
        <w:snapToGrid w:val="0"/>
        <w:spacing w:line="56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overflowPunct w:val="0"/>
        <w:adjustRightInd w:val="0"/>
        <w:snapToGrid w:val="0"/>
        <w:spacing w:line="560" w:lineRule="exact"/>
        <w:ind w:firstLine="560" w:firstLineChars="200"/>
        <w:rPr>
          <w:rFonts w:asciiTheme="minorEastAsia" w:hAnsiTheme="minorEastAsia" w:eastAsiaTheme="minorEastAsia"/>
          <w:color w:val="000000"/>
          <w:sz w:val="28"/>
          <w:szCs w:val="28"/>
        </w:rPr>
      </w:pPr>
      <w:r>
        <w:rPr>
          <w:rFonts w:hint="eastAsia" w:ascii="仿宋_GB2312" w:hAnsi="仿宋_GB2312" w:eastAsia="仿宋_GB2312" w:cs="仿宋_GB2312"/>
          <w:color w:val="000000"/>
          <w:sz w:val="28"/>
          <w:szCs w:val="28"/>
          <w:lang w:val="en-US" w:eastAsia="zh-CN"/>
        </w:rPr>
        <w:t>单位详情、招聘岗位及专业可关注“中铁十一局集团有限公司人力资源部微信公众号”进行了解，意向毕业生可通过加入“2020届毕业生答疑群”进行咨询、投递简历。</w:t>
      </w:r>
    </w:p>
    <w:p>
      <w:pPr>
        <w:ind w:firstLine="560" w:firstLineChars="20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lang w:eastAsia="zh-CN"/>
        </w:rPr>
        <w:drawing>
          <wp:anchor distT="0" distB="0" distL="114300" distR="114300" simplePos="0" relativeHeight="251658240" behindDoc="0" locked="0" layoutInCell="1" allowOverlap="1">
            <wp:simplePos x="0" y="0"/>
            <wp:positionH relativeFrom="column">
              <wp:posOffset>539115</wp:posOffset>
            </wp:positionH>
            <wp:positionV relativeFrom="paragraph">
              <wp:posOffset>33655</wp:posOffset>
            </wp:positionV>
            <wp:extent cx="1192530" cy="1253490"/>
            <wp:effectExtent l="0" t="0" r="7620" b="3810"/>
            <wp:wrapNone/>
            <wp:docPr id="2" name="图片 2" descr="图7人力资源部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7人力资源部微信公众号"/>
                    <pic:cNvPicPr>
                      <a:picLocks noChangeAspect="1"/>
                    </pic:cNvPicPr>
                  </pic:nvPicPr>
                  <pic:blipFill>
                    <a:blip r:embed="rId4"/>
                    <a:stretch>
                      <a:fillRect/>
                    </a:stretch>
                  </pic:blipFill>
                  <pic:spPr>
                    <a:xfrm>
                      <a:off x="0" y="0"/>
                      <a:ext cx="1192530" cy="1253490"/>
                    </a:xfrm>
                    <a:prstGeom prst="rect">
                      <a:avLst/>
                    </a:prstGeom>
                  </pic:spPr>
                </pic:pic>
              </a:graphicData>
            </a:graphic>
          </wp:anchor>
        </w:drawing>
      </w:r>
      <w:r>
        <w:rPr>
          <w:rFonts w:hint="eastAsia" w:asciiTheme="minorEastAsia" w:hAnsiTheme="minorEastAsia" w:eastAsiaTheme="minorEastAsia"/>
          <w:color w:val="000000"/>
          <w:sz w:val="28"/>
          <w:szCs w:val="28"/>
          <w:lang w:eastAsia="zh-CN"/>
        </w:rPr>
        <w:drawing>
          <wp:anchor distT="0" distB="0" distL="114300" distR="114300" simplePos="0" relativeHeight="251659264" behindDoc="0" locked="0" layoutInCell="1" allowOverlap="1">
            <wp:simplePos x="0" y="0"/>
            <wp:positionH relativeFrom="column">
              <wp:posOffset>1777365</wp:posOffset>
            </wp:positionH>
            <wp:positionV relativeFrom="paragraph">
              <wp:posOffset>103505</wp:posOffset>
            </wp:positionV>
            <wp:extent cx="1061720" cy="1387475"/>
            <wp:effectExtent l="0" t="0" r="5080" b="3175"/>
            <wp:wrapNone/>
            <wp:docPr id="1" name="图片 1" descr="2020届毕业生答疑群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届毕业生答疑群群二维码"/>
                    <pic:cNvPicPr>
                      <a:picLocks noChangeAspect="1"/>
                    </pic:cNvPicPr>
                  </pic:nvPicPr>
                  <pic:blipFill>
                    <a:blip r:embed="rId5"/>
                    <a:srcRect l="7237" t="5492" r="5686" b="5822"/>
                    <a:stretch>
                      <a:fillRect/>
                    </a:stretch>
                  </pic:blipFill>
                  <pic:spPr>
                    <a:xfrm>
                      <a:off x="0" y="0"/>
                      <a:ext cx="1061720" cy="1387475"/>
                    </a:xfrm>
                    <a:prstGeom prst="rect">
                      <a:avLst/>
                    </a:prstGeom>
                  </pic:spPr>
                </pic:pic>
              </a:graphicData>
            </a:graphic>
          </wp:anchor>
        </w:drawing>
      </w:r>
    </w:p>
    <w:p>
      <w:pPr>
        <w:ind w:firstLine="560" w:firstLineChars="200"/>
        <w:rPr>
          <w:rFonts w:asciiTheme="minorEastAsia" w:hAnsiTheme="minorEastAsia" w:eastAsiaTheme="minorEastAsia"/>
          <w:color w:val="000000"/>
          <w:sz w:val="28"/>
          <w:szCs w:val="28"/>
        </w:rPr>
      </w:pPr>
    </w:p>
    <w:p>
      <w:pPr>
        <w:ind w:firstLine="560" w:firstLineChars="200"/>
        <w:rPr>
          <w:rFonts w:asciiTheme="minorEastAsia" w:hAnsiTheme="minorEastAsia" w:eastAsiaTheme="minorEastAsia"/>
          <w:color w:val="000000"/>
          <w:sz w:val="28"/>
          <w:szCs w:val="28"/>
        </w:rPr>
      </w:pP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E04"/>
    <w:rsid w:val="00001F21"/>
    <w:rsid w:val="0003621E"/>
    <w:rsid w:val="000447AA"/>
    <w:rsid w:val="00061746"/>
    <w:rsid w:val="000639EB"/>
    <w:rsid w:val="00094EF5"/>
    <w:rsid w:val="000C2916"/>
    <w:rsid w:val="000C4148"/>
    <w:rsid w:val="000D2724"/>
    <w:rsid w:val="000F0D96"/>
    <w:rsid w:val="00100D39"/>
    <w:rsid w:val="00107140"/>
    <w:rsid w:val="00136E24"/>
    <w:rsid w:val="0015751E"/>
    <w:rsid w:val="00162258"/>
    <w:rsid w:val="00173019"/>
    <w:rsid w:val="001743E5"/>
    <w:rsid w:val="00175CE3"/>
    <w:rsid w:val="0019232A"/>
    <w:rsid w:val="001B18FA"/>
    <w:rsid w:val="001F782E"/>
    <w:rsid w:val="002437BE"/>
    <w:rsid w:val="002B1C1E"/>
    <w:rsid w:val="002B7509"/>
    <w:rsid w:val="002C5783"/>
    <w:rsid w:val="002E46F5"/>
    <w:rsid w:val="003501AC"/>
    <w:rsid w:val="003B4569"/>
    <w:rsid w:val="003B76B0"/>
    <w:rsid w:val="00425F03"/>
    <w:rsid w:val="004550AA"/>
    <w:rsid w:val="00475AEE"/>
    <w:rsid w:val="0049443B"/>
    <w:rsid w:val="004A792B"/>
    <w:rsid w:val="004C06EA"/>
    <w:rsid w:val="00580391"/>
    <w:rsid w:val="005A625B"/>
    <w:rsid w:val="005A6A5F"/>
    <w:rsid w:val="005B195D"/>
    <w:rsid w:val="006476EF"/>
    <w:rsid w:val="006551C2"/>
    <w:rsid w:val="00677298"/>
    <w:rsid w:val="0069401A"/>
    <w:rsid w:val="006A3B61"/>
    <w:rsid w:val="006B1E25"/>
    <w:rsid w:val="006D4D15"/>
    <w:rsid w:val="006F2175"/>
    <w:rsid w:val="0070181B"/>
    <w:rsid w:val="0071187C"/>
    <w:rsid w:val="00752521"/>
    <w:rsid w:val="00756FEA"/>
    <w:rsid w:val="00776741"/>
    <w:rsid w:val="007A06C6"/>
    <w:rsid w:val="007F0D00"/>
    <w:rsid w:val="008008AC"/>
    <w:rsid w:val="00812684"/>
    <w:rsid w:val="00843BB3"/>
    <w:rsid w:val="00857EDC"/>
    <w:rsid w:val="00910276"/>
    <w:rsid w:val="00941AF2"/>
    <w:rsid w:val="00943990"/>
    <w:rsid w:val="009471D2"/>
    <w:rsid w:val="00956E04"/>
    <w:rsid w:val="00961889"/>
    <w:rsid w:val="00995735"/>
    <w:rsid w:val="009F6AA9"/>
    <w:rsid w:val="00A14219"/>
    <w:rsid w:val="00A2098A"/>
    <w:rsid w:val="00A22F20"/>
    <w:rsid w:val="00A479CF"/>
    <w:rsid w:val="00A5552E"/>
    <w:rsid w:val="00A867B2"/>
    <w:rsid w:val="00A93B39"/>
    <w:rsid w:val="00AD3A0D"/>
    <w:rsid w:val="00B01F79"/>
    <w:rsid w:val="00B66897"/>
    <w:rsid w:val="00B80250"/>
    <w:rsid w:val="00BE27AF"/>
    <w:rsid w:val="00C674FA"/>
    <w:rsid w:val="00C84BAE"/>
    <w:rsid w:val="00CE1514"/>
    <w:rsid w:val="00D0077B"/>
    <w:rsid w:val="00D33ACB"/>
    <w:rsid w:val="00D63A1F"/>
    <w:rsid w:val="00D65AEB"/>
    <w:rsid w:val="00DC6987"/>
    <w:rsid w:val="00E2474F"/>
    <w:rsid w:val="00E31886"/>
    <w:rsid w:val="00E375C2"/>
    <w:rsid w:val="00E62939"/>
    <w:rsid w:val="00EB1A5E"/>
    <w:rsid w:val="00EC32E5"/>
    <w:rsid w:val="00F008D8"/>
    <w:rsid w:val="00F07096"/>
    <w:rsid w:val="00F40598"/>
    <w:rsid w:val="00F57D40"/>
    <w:rsid w:val="00F644F0"/>
    <w:rsid w:val="00F9347A"/>
    <w:rsid w:val="00F95538"/>
    <w:rsid w:val="00FD14A9"/>
    <w:rsid w:val="0F523B59"/>
    <w:rsid w:val="14FB3E23"/>
    <w:rsid w:val="172A0D92"/>
    <w:rsid w:val="25A659CF"/>
    <w:rsid w:val="27684D55"/>
    <w:rsid w:val="29C55520"/>
    <w:rsid w:val="65DC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kern w:val="2"/>
      <w:sz w:val="18"/>
      <w:szCs w:val="18"/>
    </w:rPr>
  </w:style>
  <w:style w:type="character" w:customStyle="1" w:styleId="13">
    <w:name w:val="文档结构图 Char"/>
    <w:basedOn w:val="6"/>
    <w:link w:val="2"/>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ZT11</Company>
  <Pages>5</Pages>
  <Words>414</Words>
  <Characters>2363</Characters>
  <Lines>19</Lines>
  <Paragraphs>5</Paragraphs>
  <TotalTime>35</TotalTime>
  <ScaleCrop>false</ScaleCrop>
  <LinksUpToDate>false</LinksUpToDate>
  <CharactersWithSpaces>2772</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2018-08-28T03:33:00Z</dcterms:created>
  <dc:creator>卢志成</dc:creator>
  <cp:lastModifiedBy>李建勋</cp:lastModifiedBy>
  <dcterms:modified xsi:type="dcterms:W3CDTF">2019-08-30T03:37:22Z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