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中国葛洲坝集团第三工程有限公司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20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年校园招聘简章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default"/>
        </w:rPr>
      </w:pPr>
      <w:r>
        <w:rPr>
          <w:rFonts w:hint="default"/>
        </w:rPr>
        <w:t>一</w:t>
      </w:r>
      <w:r>
        <w:rPr>
          <w:rFonts w:hint="default"/>
          <w:lang w:eastAsia="zh-CN"/>
        </w:rPr>
        <w:t>、</w:t>
      </w:r>
      <w:r>
        <w:rPr>
          <w:rFonts w:hint="default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中国葛洲坝集团第三工程有限公司（以下简称公司）是国务院国资委直管特大型能源建设集团、世界500强——中国能源建设集团有限公司旗下的独立法人企业，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中国葛洲坝集团股份有限公司的全资子公司，是葛洲坝集团的核心成员企业，是葛洲坝集团践行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倡议和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走出去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的领军企业。公司于2013年11月由原葛洲坝新疆工程局（有限公司）和中国葛洲坝集团股份有限公司西北分公司重组成立，注册地位于中国西安。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公司业务呈现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一主多辅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元化发展态势，即以水利水电为主，同时涉足建筑、市政、公路、铁路等领域。其中，国内经营区域遍布陕西、福建等10多个省、自治区和直辖市；国际经营区域遍布巴基斯坦、俄罗斯、哈萨克斯坦等18个国家、地区，国际业务综合占比达到50%以上。公司优先发展国际业务，优化发展国内业务，逐步构建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国际与国内、水电与非水电、传统与高端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三个并举的业务结构。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现有员工2169人、党员846人（其中离退休党员210人），其中本科及以上学历1173人，中级及以上职称564人，享受国务院特殊津贴专家1人，拥有包括教授级高工、国家一级建造师、注册结构工程师、注册建筑师、注册造价工程师、注册会计师、全国优秀项目经理等高端人才172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拥有水利水电工程施工总承包特级，水利行业工程设计（水库枢纽、灌溉排涝、河道整治）、水利工程质量检测甲级，公路工程、市政公用、建筑工程施工等总承包二级，消防设施、环保工程、地基基础等专业承包一级，输变电工程、桥梁工程、隧道工程等专业承包二级，特种工程专业承包等各类、各级资质27项。公司通过了国家级高新技术企业认定，取得了省级企业技术中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拥有面板堆石坝施工中大坝变形控制、大坝渗流控制、大坝施工与质量控制、高寒地区水利水电工程施工、高发地震区水库工程施工与修复等国内外领先技术，先后获国家专利82项、工法14项、各级各类科技技术奖40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先后投资、建设了230余项精品工程，在长江、黄河、清江和印度河等流域参与建设了三峡、高坝洲、水布垭、隔河岩、瀑布沟、拉西瓦、公伯峡和巴基斯坦尼鲁姆·杰卢姆等国内国际代表性工程。公司先后荣获鲁班奖4项、詹天佑奖5项（3项入选中国百年百项杰出土木工程）、大禹奖1项、国际里程碑工程奖3项、国家优质工程奖2项、中国水力发电工程学会科学技术奖1项、省部级科技进步奖15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公司在巴基斯坦实现了滚动开发，构建了涵盖巴基斯坦NJ水电站、KAROT水电站、SK水电站、DASU水电站、Mohmand水电站、AZAD PATTAN水电站、E35公路、M4高速公路等8个工程项目、合同总额近100亿美元的项目群；在俄罗斯和哈萨克斯坦分别中标AMUR天然气、腾太克梯级电站项目，实现了巴基斯坦以外国别市场的突破。公司在国内进行重点布局、重点突破，先后斩获了福建江阴填海、贵州盘县保障房及市政、陕西渭南北水厂、新疆阿尔塔什水电站、陕西延黄高速公路、湖北荆州城北快速路、四川土溪口水电站、西安地铁十四号线和浙江丽水机场配套工程等项目。公司项目结构持续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国际项目、高端项目、大项目、项目群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四大类方向转变。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公司立足陕西，在省级乃至全国的品牌和行业影响力逐年攀升。连续2年雄踞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陕西省建筑业企业百强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榜首，跃进2016年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中国建筑业企业成长性200强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第4位，被誉为“全国国有企业国际化经营典范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，先后荣获中央企业“青年文明号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、湖北省“文明单位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、湖北省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五一劳动奖状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、湖北省“先进基层党组织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等荣誉称号，多次登陆央视《新闻联播》《人民日报》等国家、省级媒体。公司制度建设数次荣获国家、行业、省级管理创新一等奖，并入选中共中央党校版的《中国思想政治工作与“两学一做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学习教育全书》。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始于1987，得益于30年的历史沉淀，得益于近年来的励精图治，公司步入了健康的发展轨道，踏上了高质量可持续发展、打造具有较强国际竞争力的工程公司的新征程。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诚邀广大优秀学子加盟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中国能建葛洲坝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三公司，共圆卓越梦！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eastAsia" w:eastAsia="黑体"/>
          <w:lang w:eastAsia="zh-CN"/>
        </w:rPr>
      </w:pPr>
      <w:r>
        <w:rPr>
          <w:rFonts w:hint="default"/>
        </w:rPr>
        <w:t>二</w:t>
      </w:r>
      <w:r>
        <w:rPr>
          <w:rFonts w:hint="default"/>
          <w:lang w:eastAsia="zh-CN"/>
        </w:rPr>
        <w:t>、</w:t>
      </w:r>
      <w:r>
        <w:rPr>
          <w:rFonts w:hint="default"/>
        </w:rPr>
        <w:t>招聘</w:t>
      </w:r>
      <w:r>
        <w:rPr>
          <w:rFonts w:hint="eastAsia"/>
          <w:lang w:val="en-US" w:eastAsia="zh-CN"/>
        </w:rPr>
        <w:t>条件</w:t>
      </w:r>
      <w:r>
        <w:rPr>
          <w:rFonts w:hint="default"/>
        </w:rPr>
        <w:t>及</w:t>
      </w:r>
      <w:r>
        <w:rPr>
          <w:rFonts w:hint="eastAsia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1.毕业生应为全国统一招收的全日制普通高等学校应届毕业生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所学专业符合公司招聘要求。外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语类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专业毕业生必须取得专业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四级及以上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英语为专八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。毕业生提供的求职材料及有关信息应真实可靠，与毕业生档案一致。档案应在报到前通过机要通道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至公司人力资源部。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2.毕业生应遵纪守法，品行端正，成绩优良，在校期间有担任过学生干部职务或学生社团负责人的优先。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身体健康，体检无重大及传染性疾病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3.毕业生应于20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年7月20日前或按单位通知时间持毕业证、学位证、报到证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和《教育部学历证书电子注册备案表》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到集团公司人力资源部或单位指定地点报到，否则视为毕业生单方面违约。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4.毕业生办理入职报到手续，并经体检合格后，按规定签订正式劳动合同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其中试用期3个月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试用期满考核合格的，根据其所学专业、单位岗位需求安排工作岗位。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eastAsia="zh-CN"/>
        </w:rPr>
        <w:t>、</w:t>
      </w:r>
      <w:r>
        <w:rPr>
          <w:rFonts w:hint="default"/>
        </w:rPr>
        <w:t>招聘专业及人数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招聘人数：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150人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0人，本科1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专业需求：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工程技术类：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水利水电工程、土木工程、交通工程、道路桥梁与渡河工程、给排水科学与工程、城市地下空间工程、地质工程、测绘工程、工程管理、安全工程、环境工程、电气工程及其自动化、物流管理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化学工程与工艺、过程装备与控制工程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经济金融类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投资学、金融学、税收学、会计学、审计学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企业管理类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思想政治教育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人力资源管理、行政管理、汉语言文学、新闻学、视觉传达设计、播音与主持艺术、法学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外语类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英语、俄语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波兰语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default"/>
          <w:lang w:eastAsia="zh-CN"/>
        </w:rPr>
        <w:t>、</w:t>
      </w:r>
      <w:r>
        <w:rPr>
          <w:rFonts w:hint="default"/>
        </w:rPr>
        <w:t>薪酬福利</w:t>
      </w:r>
      <w:r>
        <w:rPr>
          <w:rFonts w:hint="eastAsia"/>
          <w:lang w:val="en-US" w:eastAsia="zh-CN"/>
        </w:rPr>
        <w:t>及发展待遇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1.薪酬待遇。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薪酬标准高于行业平均水平，国外项目薪酬水平为国内同类项目薪酬水平的2倍。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2.假期待遇。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按照国家相关政策执行，提供带薪年休假并报销来回路费。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3.社会保险及住房公积金制度。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公司建立了完善的社会保险和住房公积金制度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简称“七险两金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，包括：基本养老保险、基本医疗保险、失业保险、工伤保险、生育保险、住房公积金、补充医疗保险、补充工伤保险、企业年金。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福利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补助。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公司设有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员工餐厅、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通讯补贴、租房补贴、出差补贴、生日礼物、健康体检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、节日福利、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健身设施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福利项目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增加员工福祉。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5.住房待遇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解决西安市集体户口。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免费提供住宿，发放一次性安家费。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首次购买住房申请公积金贷款的，由单位按年度凭票据报销最高贷款额度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万元最长贷款期限10年的年度分摊利息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商业贷款利息报销标准比照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公积金贷款利息报销标准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6.学习待遇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内部培训：根据需要参加公司举办的各类专项培训及资格取证培训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送外学习：择优选派毕业生到国内高等院校、科研机构及上级单位学习深造以及各类专项培训。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多维度培育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：毕业生入职后，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纳入公司“三二一”大学生培养体系，开展多维度、全方位的工作学习，由双导师共同助力学习成才。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多岗位历练：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公司为员工提供多元化的成长平台，对新员工制订职业发展规划，通过轮岗、交流等方式助力快速成长。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多通道发展：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公司搭建多通道发展途径，打通“管理岗、技术岗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两条通道，员工根据自身优势选择合适的成长路径。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  <w:lang w:eastAsia="zh-CN"/>
        </w:rPr>
        <w:t>、</w:t>
      </w:r>
      <w:r>
        <w:rPr>
          <w:rFonts w:hint="default"/>
        </w:rPr>
        <w:t>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1.网申：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根据公司招聘行程计划安排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，请在拟参加场次宣讲会召开前登录网申平台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  <w:t>http://campus.51job.com/cggc3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，注册填写个人简历，并根据专业进行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  <w:t>在线投递简历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.宣讲</w:t>
      </w: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网申成功后，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请按时参加校园宣讲会。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.初试：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宣讲会结束后，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筛选通过人员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进行初试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.复试：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初试通过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请保持手机畅通等待复试通知。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.录取签约：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复试合格后，公司安排签约事宜。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</w:t>
      </w:r>
      <w:r>
        <w:rPr>
          <w:rFonts w:hint="default"/>
          <w:lang w:eastAsia="zh-CN"/>
        </w:rPr>
        <w:t>、</w:t>
      </w:r>
      <w:r>
        <w:rPr>
          <w:rFonts w:hint="default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公司地址：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陕西省西安市高新区锦业路36号葛洲坝三公司人力资源部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先生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029-89678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029-89678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567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2F0"/>
    <w:rsid w:val="000C2DD2"/>
    <w:rsid w:val="0011789F"/>
    <w:rsid w:val="00124237"/>
    <w:rsid w:val="001417AF"/>
    <w:rsid w:val="00230025"/>
    <w:rsid w:val="00231C43"/>
    <w:rsid w:val="00234032"/>
    <w:rsid w:val="00292C5D"/>
    <w:rsid w:val="0030251B"/>
    <w:rsid w:val="00302AE2"/>
    <w:rsid w:val="003D0D9C"/>
    <w:rsid w:val="003D7169"/>
    <w:rsid w:val="003F4C86"/>
    <w:rsid w:val="00493849"/>
    <w:rsid w:val="004A25F6"/>
    <w:rsid w:val="004F5C76"/>
    <w:rsid w:val="0058739B"/>
    <w:rsid w:val="005D2A84"/>
    <w:rsid w:val="005F4DBF"/>
    <w:rsid w:val="00691C39"/>
    <w:rsid w:val="00706875"/>
    <w:rsid w:val="00721C3A"/>
    <w:rsid w:val="007417B0"/>
    <w:rsid w:val="00746924"/>
    <w:rsid w:val="007A00E4"/>
    <w:rsid w:val="007B4DD7"/>
    <w:rsid w:val="007C3BC4"/>
    <w:rsid w:val="0082557D"/>
    <w:rsid w:val="00853E6E"/>
    <w:rsid w:val="0088436E"/>
    <w:rsid w:val="008D4A41"/>
    <w:rsid w:val="008D7FFC"/>
    <w:rsid w:val="009002E1"/>
    <w:rsid w:val="00934AC2"/>
    <w:rsid w:val="00A13D5A"/>
    <w:rsid w:val="00A55AD6"/>
    <w:rsid w:val="00A9565B"/>
    <w:rsid w:val="00B84471"/>
    <w:rsid w:val="00BD4588"/>
    <w:rsid w:val="00BF6927"/>
    <w:rsid w:val="00C63B03"/>
    <w:rsid w:val="00CD45CF"/>
    <w:rsid w:val="00D40D4B"/>
    <w:rsid w:val="00D43448"/>
    <w:rsid w:val="00D65D71"/>
    <w:rsid w:val="00DD00E8"/>
    <w:rsid w:val="00DE0B37"/>
    <w:rsid w:val="00E142DA"/>
    <w:rsid w:val="00E232DD"/>
    <w:rsid w:val="00E31025"/>
    <w:rsid w:val="00E7240D"/>
    <w:rsid w:val="00E76C92"/>
    <w:rsid w:val="00F512B8"/>
    <w:rsid w:val="00F627CC"/>
    <w:rsid w:val="00FB76EB"/>
    <w:rsid w:val="00FF5220"/>
    <w:rsid w:val="01161782"/>
    <w:rsid w:val="01B36FF7"/>
    <w:rsid w:val="029A3B89"/>
    <w:rsid w:val="043B7D23"/>
    <w:rsid w:val="057F269B"/>
    <w:rsid w:val="08C1381F"/>
    <w:rsid w:val="09D85E0A"/>
    <w:rsid w:val="0A4763C4"/>
    <w:rsid w:val="0A6243B9"/>
    <w:rsid w:val="0A665D1E"/>
    <w:rsid w:val="0B3325C0"/>
    <w:rsid w:val="0C7065D8"/>
    <w:rsid w:val="0E414D0F"/>
    <w:rsid w:val="0E6B163E"/>
    <w:rsid w:val="0EE64FE1"/>
    <w:rsid w:val="0F3D05E6"/>
    <w:rsid w:val="0FEB0AC2"/>
    <w:rsid w:val="10307C2D"/>
    <w:rsid w:val="119D7A5B"/>
    <w:rsid w:val="136A2316"/>
    <w:rsid w:val="13B955D2"/>
    <w:rsid w:val="13BB1EE7"/>
    <w:rsid w:val="140F27BD"/>
    <w:rsid w:val="14D737EA"/>
    <w:rsid w:val="187316BC"/>
    <w:rsid w:val="18E91BFD"/>
    <w:rsid w:val="1A7F4E45"/>
    <w:rsid w:val="1B602CB6"/>
    <w:rsid w:val="1C621E23"/>
    <w:rsid w:val="1C647485"/>
    <w:rsid w:val="1CD55A24"/>
    <w:rsid w:val="1CEF0F5C"/>
    <w:rsid w:val="1E7B3D02"/>
    <w:rsid w:val="1EBE1ACE"/>
    <w:rsid w:val="20277EAF"/>
    <w:rsid w:val="204839EF"/>
    <w:rsid w:val="20D63BCA"/>
    <w:rsid w:val="211117B0"/>
    <w:rsid w:val="21597016"/>
    <w:rsid w:val="22024EB4"/>
    <w:rsid w:val="24647D65"/>
    <w:rsid w:val="24D35F5B"/>
    <w:rsid w:val="25982DFF"/>
    <w:rsid w:val="26152E04"/>
    <w:rsid w:val="28062703"/>
    <w:rsid w:val="2A3F115D"/>
    <w:rsid w:val="2B3A6AB7"/>
    <w:rsid w:val="2C4C55F8"/>
    <w:rsid w:val="2D7D46FD"/>
    <w:rsid w:val="2E434DFF"/>
    <w:rsid w:val="2E8B7DD1"/>
    <w:rsid w:val="2E9D1AF9"/>
    <w:rsid w:val="307315CE"/>
    <w:rsid w:val="30996941"/>
    <w:rsid w:val="312B70F4"/>
    <w:rsid w:val="31940452"/>
    <w:rsid w:val="3391790C"/>
    <w:rsid w:val="34221E92"/>
    <w:rsid w:val="34236A9B"/>
    <w:rsid w:val="34F370AF"/>
    <w:rsid w:val="363D0696"/>
    <w:rsid w:val="385A76E1"/>
    <w:rsid w:val="394C0F68"/>
    <w:rsid w:val="39F03E2B"/>
    <w:rsid w:val="3B34354E"/>
    <w:rsid w:val="3B5E42EB"/>
    <w:rsid w:val="3D25225C"/>
    <w:rsid w:val="3D86421F"/>
    <w:rsid w:val="3D864D7E"/>
    <w:rsid w:val="3DA3469A"/>
    <w:rsid w:val="3DD741E0"/>
    <w:rsid w:val="3FAC1100"/>
    <w:rsid w:val="3FD96DED"/>
    <w:rsid w:val="41E63946"/>
    <w:rsid w:val="43CA5314"/>
    <w:rsid w:val="47DF2CF2"/>
    <w:rsid w:val="482D7120"/>
    <w:rsid w:val="491F4F62"/>
    <w:rsid w:val="49DC161C"/>
    <w:rsid w:val="4AB36DBB"/>
    <w:rsid w:val="4B045373"/>
    <w:rsid w:val="4DCE48BE"/>
    <w:rsid w:val="4E504D4D"/>
    <w:rsid w:val="4F4115FB"/>
    <w:rsid w:val="50983D49"/>
    <w:rsid w:val="513C0C88"/>
    <w:rsid w:val="53087C5D"/>
    <w:rsid w:val="539C178B"/>
    <w:rsid w:val="544A1981"/>
    <w:rsid w:val="54BB55A5"/>
    <w:rsid w:val="56AC608A"/>
    <w:rsid w:val="57115374"/>
    <w:rsid w:val="579C3AAD"/>
    <w:rsid w:val="589329E6"/>
    <w:rsid w:val="594F3318"/>
    <w:rsid w:val="5A877A54"/>
    <w:rsid w:val="5AF3410F"/>
    <w:rsid w:val="5B692606"/>
    <w:rsid w:val="5BEA3114"/>
    <w:rsid w:val="5C25295D"/>
    <w:rsid w:val="5C3E43DE"/>
    <w:rsid w:val="5E155A95"/>
    <w:rsid w:val="5ED050CC"/>
    <w:rsid w:val="5F493270"/>
    <w:rsid w:val="5F643BF6"/>
    <w:rsid w:val="5FC92A6B"/>
    <w:rsid w:val="605037F1"/>
    <w:rsid w:val="60A344C7"/>
    <w:rsid w:val="629115E8"/>
    <w:rsid w:val="647D7F4C"/>
    <w:rsid w:val="64AC3D7E"/>
    <w:rsid w:val="65464E55"/>
    <w:rsid w:val="674B06B7"/>
    <w:rsid w:val="674C6D30"/>
    <w:rsid w:val="678225BD"/>
    <w:rsid w:val="683325BE"/>
    <w:rsid w:val="688D7B4E"/>
    <w:rsid w:val="68B82AA6"/>
    <w:rsid w:val="6A375944"/>
    <w:rsid w:val="6C744369"/>
    <w:rsid w:val="6CE81551"/>
    <w:rsid w:val="6DE37971"/>
    <w:rsid w:val="70597B8B"/>
    <w:rsid w:val="72313CD7"/>
    <w:rsid w:val="72325012"/>
    <w:rsid w:val="72BB19BF"/>
    <w:rsid w:val="74274D92"/>
    <w:rsid w:val="744A2FC4"/>
    <w:rsid w:val="744B3BA4"/>
    <w:rsid w:val="756917EE"/>
    <w:rsid w:val="76181F80"/>
    <w:rsid w:val="77195715"/>
    <w:rsid w:val="77AE49AA"/>
    <w:rsid w:val="77CA17CC"/>
    <w:rsid w:val="7A587A38"/>
    <w:rsid w:val="7ADE5FF2"/>
    <w:rsid w:val="7B3C2487"/>
    <w:rsid w:val="7BC16F72"/>
    <w:rsid w:val="7FF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00" w:beforeLines="100" w:after="100" w:afterLines="100" w:line="560" w:lineRule="exact"/>
      <w:ind w:firstLine="880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351</Words>
  <Characters>2002</Characters>
  <Lines>16</Lines>
  <Paragraphs>4</Paragraphs>
  <TotalTime>4</TotalTime>
  <ScaleCrop>false</ScaleCrop>
  <LinksUpToDate>false</LinksUpToDate>
  <CharactersWithSpaces>2349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2018-09-03T05:00:00Z</dcterms:created>
  <dc:creator>王 立</dc:creator>
  <cp:lastModifiedBy>　</cp:lastModifiedBy>
  <dcterms:modified xsi:type="dcterms:W3CDTF">2019-09-02T09:24:10Z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