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郑州西亚斯学院202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季校园招聘会邀请函</w:t>
      </w:r>
    </w:p>
    <w:p>
      <w:pPr>
        <w:ind w:firstLine="420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尊敬的用人单位: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您好!衷心感谢贵单位长期以来对我校毕业生就业工作的大力支持!202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届毕业生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8507</w:t>
      </w:r>
      <w:r>
        <w:rPr>
          <w:rFonts w:hint="eastAsia" w:ascii="宋体" w:hAnsi="宋体" w:eastAsia="宋体" w:cs="宋体"/>
          <w:sz w:val="28"/>
          <w:szCs w:val="28"/>
        </w:rPr>
        <w:t>人，其中本科毕业生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7269</w:t>
      </w:r>
      <w:r>
        <w:rPr>
          <w:rFonts w:hint="eastAsia" w:ascii="宋体" w:hAnsi="宋体" w:eastAsia="宋体" w:cs="宋体"/>
          <w:sz w:val="28"/>
          <w:szCs w:val="28"/>
        </w:rPr>
        <w:t>人(含专升本)，专科毕业生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1238</w:t>
      </w:r>
      <w:r>
        <w:rPr>
          <w:rFonts w:hint="eastAsia" w:ascii="宋体" w:hAnsi="宋体" w:eastAsia="宋体" w:cs="宋体"/>
          <w:sz w:val="28"/>
          <w:szCs w:val="28"/>
        </w:rPr>
        <w:t>人。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我校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 w:cs="宋体"/>
          <w:sz w:val="28"/>
          <w:szCs w:val="28"/>
        </w:rPr>
        <w:t>定于202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日(周六)在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综合体育馆</w:t>
      </w:r>
      <w:r>
        <w:rPr>
          <w:rFonts w:hint="eastAsia" w:ascii="宋体" w:hAnsi="宋体" w:eastAsia="宋体" w:cs="宋体"/>
          <w:sz w:val="28"/>
          <w:szCs w:val="28"/>
        </w:rPr>
        <w:t>(地址:河南省新郑市人民路东段168号)举办校园招聘会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诚邀您的参加。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第三方单位（人力资源公司）谢绝参会。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报到时间: 2020年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会期</w:t>
      </w:r>
      <w:r>
        <w:rPr>
          <w:rFonts w:hint="eastAsia" w:ascii="宋体" w:hAnsi="宋体" w:eastAsia="宋体" w:cs="宋体"/>
          <w:sz w:val="28"/>
          <w:szCs w:val="28"/>
        </w:rPr>
        <w:t>10:00-16:30，(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省外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视情况提前一天到达，在学校附近入住，省内企业可在会期当天来校</w:t>
      </w:r>
      <w:r>
        <w:rPr>
          <w:rFonts w:hint="eastAsia" w:ascii="宋体" w:hAnsi="宋体" w:eastAsia="宋体" w:cs="宋体"/>
          <w:sz w:val="28"/>
          <w:szCs w:val="28"/>
        </w:rPr>
        <w:t>)，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入校参会</w:t>
      </w:r>
      <w:r>
        <w:rPr>
          <w:rFonts w:hint="eastAsia" w:ascii="宋体" w:hAnsi="宋体" w:eastAsia="宋体" w:cs="宋体"/>
          <w:sz w:val="28"/>
          <w:szCs w:val="28"/>
        </w:rPr>
        <w:t>需携带加盖公章的回执表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及参会人员信息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请参会企业于当日9：00前签到入场布展。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二、报到地点: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体育馆签到处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。用人单位免费参会，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提供工作餐，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住宿费自理。请贵单位派1-2人参会。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郑州及周边企业可以选择自驾或者公共交通来校，或者到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郑州火车站西广场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乘坐我校提供的免费大巴车来校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来校方式：自驾，手机地图搜索郑州西亚斯学院东门（人民路168号）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乘坐我校大巴，7:30到火车站西广场集合（C口西南口），乘坐我校大巴车来校。大巴车8：00点准时从西广场返校。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三、参会方式:用人单位进入“郑州西亚斯学院就业创业信息网”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</w:t>
      </w:r>
      <w:r>
        <w:rPr>
          <w:rFonts w:hint="eastAsia" w:ascii="宋体" w:hAnsi="宋体" w:eastAsia="宋体" w:cs="宋体"/>
          <w:sz w:val="24"/>
          <w:szCs w:val="24"/>
        </w:rPr>
        <w:t>ttp://job.sias.edu.cn)</w:t>
      </w:r>
      <w:r>
        <w:rPr>
          <w:rFonts w:hint="eastAsia" w:ascii="宋体" w:hAnsi="宋体" w:eastAsia="宋体" w:cs="宋体"/>
          <w:sz w:val="28"/>
          <w:szCs w:val="28"/>
        </w:rPr>
        <w:t>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官方网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http://www.sias.edu.cn)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--</w:t>
      </w:r>
      <w:r>
        <w:rPr>
          <w:rFonts w:hint="eastAsia" w:ascii="宋体" w:hAnsi="宋体" w:eastAsia="宋体" w:cs="宋体"/>
          <w:sz w:val="28"/>
          <w:szCs w:val="28"/>
        </w:rPr>
        <w:t>“就业创业处”进行企业注册，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免费注册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经会议主办方审核成功后登陆企业后台首页，先点击“企业招聘管理”，发布职位招聘信息，然后点击“申请招聘会”并提交申请。会议主办方将于报名后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个工作日内进行审核，报名成功后系统将随机分配一个展位号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(展位信息以招聘会当日为准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请关注郑州西亚斯学院就业创业处公众号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。报名截止时间: 2020年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日(周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)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四、疫情防控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：第一、体温正常，14天内没有到过疫区（含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高风险地区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以国家最新发布为准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）第二、近一个月内没有出国经历。第三、入校需服从我校疫情防控管理，接受体温检测。第四、全程佩戴口罩，做好个人安全防护措施。第五、如果参会人员对近期出国经历或者到达疫情地区经历有所隐瞒并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成后果，我校有将会追究其法律责任。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第六、入校需提供参会人员信息表，填写信息完整并加盖公章。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、住宿:参会人员住宿地点:西亚斯宾馆，订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房电话：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0371-62488888。住宿标准: 228 元/晚(标准间)，住宿费自理，次日上午12:00前退房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或选择学校周边宾馆入住。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、联系电话: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0371-62488111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郭老师</w:t>
      </w:r>
    </w:p>
    <w:p>
      <w:pPr>
        <w:numPr>
          <w:ilvl w:val="0"/>
          <w:numId w:val="0"/>
        </w:numPr>
        <w:ind w:firstLine="2520" w:firstLineChars="9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0371-62604535  吴老师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郑州西亚斯学院</w:t>
      </w:r>
    </w:p>
    <w:p>
      <w:pPr>
        <w:ind w:firstLine="6160" w:firstLineChars="2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日校园招聘会用人单位回执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77"/>
        <w:gridCol w:w="1418"/>
        <w:gridCol w:w="1134"/>
        <w:gridCol w:w="26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jc w:val="center"/>
        <w:rPr>
          <w:sz w:val="36"/>
          <w:szCs w:val="36"/>
        </w:rPr>
      </w:pPr>
    </w:p>
    <w:p>
      <w:pPr>
        <w:spacing w:line="60" w:lineRule="auto"/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年用人单位招聘西亚斯学院毕业生需求信息表</w:t>
      </w:r>
    </w:p>
    <w:tbl>
      <w:tblPr>
        <w:tblStyle w:val="3"/>
        <w:tblW w:w="11057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846"/>
        <w:gridCol w:w="1382"/>
        <w:gridCol w:w="2175"/>
        <w:gridCol w:w="1479"/>
        <w:gridCol w:w="1671"/>
        <w:gridCol w:w="13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59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需求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846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82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需求人数</w:t>
            </w:r>
          </w:p>
        </w:tc>
        <w:tc>
          <w:tcPr>
            <w:tcW w:w="2175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工作地点</w:t>
            </w:r>
          </w:p>
        </w:tc>
        <w:tc>
          <w:tcPr>
            <w:tcW w:w="1479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671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网址</w:t>
            </w:r>
          </w:p>
        </w:tc>
        <w:tc>
          <w:tcPr>
            <w:tcW w:w="1350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薪酬待遇</w:t>
            </w:r>
          </w:p>
        </w:tc>
        <w:tc>
          <w:tcPr>
            <w:tcW w:w="795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7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单位签章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年   月   日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参会人员信息</w:t>
      </w:r>
    </w:p>
    <w:p>
      <w:pPr>
        <w:jc w:val="both"/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郑州西亚斯学院：</w:t>
      </w:r>
    </w:p>
    <w:p>
      <w:pPr>
        <w:jc w:val="left"/>
        <w:rPr>
          <w:rFonts w:hint="default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公司委托以下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u w:val="single"/>
          <w:vertAlign w:val="baseline"/>
          <w:lang w:val="en-US" w:eastAsia="zh-CN"/>
        </w:rPr>
        <w:t xml:space="preserve">      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位同志，来贵校参加3月13日“郑州西亚斯学院2021年春季线下大型招聘会”。我公司系国家正规注册企业</w:t>
      </w:r>
      <w:r>
        <w:rPr>
          <w:rFonts w:hint="eastAsia" w:ascii="新宋体" w:hAnsi="新宋体" w:eastAsia="新宋体" w:cs="新宋体"/>
          <w:b/>
          <w:bCs/>
          <w:sz w:val="30"/>
          <w:szCs w:val="30"/>
          <w:vertAlign w:val="baseline"/>
          <w:lang w:val="en-US" w:eastAsia="zh-CN"/>
        </w:rPr>
        <w:t>非第三方或者人力资源公司</w:t>
      </w:r>
      <w:r>
        <w:rPr>
          <w:rFonts w:hint="eastAsia" w:ascii="新宋体" w:hAnsi="新宋体" w:eastAsia="新宋体" w:cs="新宋体"/>
          <w:b w:val="0"/>
          <w:bCs w:val="0"/>
          <w:sz w:val="30"/>
          <w:szCs w:val="30"/>
          <w:vertAlign w:val="baseline"/>
          <w:lang w:val="en-US" w:eastAsia="zh-CN"/>
        </w:rPr>
        <w:t>，并向校方承诺为学生提供的岗位均真实可靠，不会以任何名义向学生收取包括培训费、介绍费等费用。请贵校予以协助。</w:t>
      </w:r>
    </w:p>
    <w:tbl>
      <w:tblPr>
        <w:tblStyle w:val="3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710"/>
        <w:gridCol w:w="2655"/>
        <w:gridCol w:w="183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4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jc w:val="left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720" w:firstLineChars="3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本人承诺此次入校近14天无异动，身体状况良好。没有来往高中风险地区记录，未接触高风险区域或确诊、疑似病例。</w:t>
      </w: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ind w:left="6239" w:leftChars="228" w:hanging="5760" w:hangingChars="2400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      盖章（来访单位）：                                                  年    月    日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A4F4CA"/>
    <w:multiLevelType w:val="singleLevel"/>
    <w:tmpl w:val="C3A4F4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8B"/>
    <w:rsid w:val="0004224F"/>
    <w:rsid w:val="00176830"/>
    <w:rsid w:val="00262B8B"/>
    <w:rsid w:val="00863991"/>
    <w:rsid w:val="026F09C4"/>
    <w:rsid w:val="04F05D13"/>
    <w:rsid w:val="057C2BAC"/>
    <w:rsid w:val="06373989"/>
    <w:rsid w:val="07B357ED"/>
    <w:rsid w:val="092E6BCA"/>
    <w:rsid w:val="094B73F8"/>
    <w:rsid w:val="0B293EAD"/>
    <w:rsid w:val="0BE43161"/>
    <w:rsid w:val="0C6F362B"/>
    <w:rsid w:val="0D734F05"/>
    <w:rsid w:val="0DC21143"/>
    <w:rsid w:val="0DDA50A4"/>
    <w:rsid w:val="0F393B9C"/>
    <w:rsid w:val="12215E9E"/>
    <w:rsid w:val="14CF2393"/>
    <w:rsid w:val="15920AE7"/>
    <w:rsid w:val="16440814"/>
    <w:rsid w:val="16B32E18"/>
    <w:rsid w:val="16C613D7"/>
    <w:rsid w:val="19A3391D"/>
    <w:rsid w:val="1B6B4E87"/>
    <w:rsid w:val="1C750C02"/>
    <w:rsid w:val="1D4828AD"/>
    <w:rsid w:val="1E5B22C8"/>
    <w:rsid w:val="220069DC"/>
    <w:rsid w:val="24476B17"/>
    <w:rsid w:val="24F57051"/>
    <w:rsid w:val="27502CAF"/>
    <w:rsid w:val="27735E11"/>
    <w:rsid w:val="291D28CB"/>
    <w:rsid w:val="2A763F7D"/>
    <w:rsid w:val="2A983FF0"/>
    <w:rsid w:val="2B0F3BAB"/>
    <w:rsid w:val="2CDA5FE5"/>
    <w:rsid w:val="2D6D12FE"/>
    <w:rsid w:val="2E8425E0"/>
    <w:rsid w:val="30E42090"/>
    <w:rsid w:val="30F2482A"/>
    <w:rsid w:val="31726A44"/>
    <w:rsid w:val="331827DC"/>
    <w:rsid w:val="336A6A89"/>
    <w:rsid w:val="339776ED"/>
    <w:rsid w:val="33DD5030"/>
    <w:rsid w:val="349C6309"/>
    <w:rsid w:val="34D03858"/>
    <w:rsid w:val="352C3B21"/>
    <w:rsid w:val="361B42A8"/>
    <w:rsid w:val="383E0A74"/>
    <w:rsid w:val="39E50A79"/>
    <w:rsid w:val="3B5354FD"/>
    <w:rsid w:val="3BB85C82"/>
    <w:rsid w:val="3C6C7EA0"/>
    <w:rsid w:val="3CED02CB"/>
    <w:rsid w:val="3D38712C"/>
    <w:rsid w:val="3D9C2A2D"/>
    <w:rsid w:val="3FB954AA"/>
    <w:rsid w:val="403046F3"/>
    <w:rsid w:val="4054034F"/>
    <w:rsid w:val="410F6A1F"/>
    <w:rsid w:val="41D753F6"/>
    <w:rsid w:val="439F66AE"/>
    <w:rsid w:val="445352C3"/>
    <w:rsid w:val="44761D0E"/>
    <w:rsid w:val="451F51DA"/>
    <w:rsid w:val="46D4189F"/>
    <w:rsid w:val="471B7FE1"/>
    <w:rsid w:val="47E975E4"/>
    <w:rsid w:val="48C4008B"/>
    <w:rsid w:val="4C780519"/>
    <w:rsid w:val="4E062E82"/>
    <w:rsid w:val="4F123316"/>
    <w:rsid w:val="4FBB4706"/>
    <w:rsid w:val="4FF96E02"/>
    <w:rsid w:val="50F6672D"/>
    <w:rsid w:val="51CA76DC"/>
    <w:rsid w:val="53D01581"/>
    <w:rsid w:val="5507294F"/>
    <w:rsid w:val="5761176A"/>
    <w:rsid w:val="59394886"/>
    <w:rsid w:val="5A5958FC"/>
    <w:rsid w:val="5A5C589A"/>
    <w:rsid w:val="5A9A3A7F"/>
    <w:rsid w:val="5B8C23EF"/>
    <w:rsid w:val="5FCF5D2F"/>
    <w:rsid w:val="601E1C5D"/>
    <w:rsid w:val="606A736C"/>
    <w:rsid w:val="616107C9"/>
    <w:rsid w:val="62C41C59"/>
    <w:rsid w:val="63AF2E06"/>
    <w:rsid w:val="64933DD5"/>
    <w:rsid w:val="67022710"/>
    <w:rsid w:val="6B716038"/>
    <w:rsid w:val="6BFF0B0A"/>
    <w:rsid w:val="6C4E687C"/>
    <w:rsid w:val="6CCF1480"/>
    <w:rsid w:val="6E743DBB"/>
    <w:rsid w:val="70D60117"/>
    <w:rsid w:val="72B71F02"/>
    <w:rsid w:val="72EB07DF"/>
    <w:rsid w:val="73AF65DE"/>
    <w:rsid w:val="74331952"/>
    <w:rsid w:val="74826BCB"/>
    <w:rsid w:val="76E168E8"/>
    <w:rsid w:val="78BE4D75"/>
    <w:rsid w:val="79BA01FB"/>
    <w:rsid w:val="7A65500D"/>
    <w:rsid w:val="7FD9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823</Characters>
  <Lines>6</Lines>
  <Paragraphs>1</Paragraphs>
  <TotalTime>1</TotalTime>
  <ScaleCrop>false</ScaleCrop>
  <LinksUpToDate>false</LinksUpToDate>
  <CharactersWithSpaces>966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2020-08-07T02:29:00Z</dcterms:created>
  <dc:creator>刘 欢</dc:creator>
  <cp:lastModifiedBy>Mr_W</cp:lastModifiedBy>
  <cp:lastPrinted>2020-11-25T07:15:00Z</cp:lastPrinted>
  <dcterms:modified xsi:type="dcterms:W3CDTF">2020-12-08T01:31:53Z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