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D6D36" w14:textId="77777777" w:rsidR="005B3BCD" w:rsidRDefault="00000000">
      <w:pPr>
        <w:pStyle w:val="a6"/>
        <w:widowControl/>
        <w:spacing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32"/>
          <w:szCs w:val="32"/>
        </w:rPr>
        <w:t>康哲药业2026届校园招聘简章</w:t>
      </w:r>
    </w:p>
    <w:p w14:paraId="00E37F85" w14:textId="77777777" w:rsidR="005B3BCD" w:rsidRDefault="00000000">
      <w:pPr>
        <w:pStyle w:val="a6"/>
        <w:widowControl/>
        <w:spacing w:beforeAutospacing="0" w:afterAutospacing="0"/>
        <w:jc w:val="center"/>
        <w:rPr>
          <w:rFonts w:ascii="微软雅黑" w:hAnsi="微软雅黑" w:cs="微软雅黑" w:hint="eastAsia"/>
          <w:b/>
          <w:bCs/>
          <w:color w:val="000000"/>
        </w:rPr>
      </w:pPr>
      <w:r>
        <w:rPr>
          <w:rFonts w:ascii="微软雅黑" w:hAnsi="微软雅黑" w:cs="微软雅黑"/>
          <w:b/>
          <w:bCs/>
          <w:color w:val="000000"/>
        </w:rPr>
        <w:t>医药新生态，持续赢未来</w:t>
      </w:r>
    </w:p>
    <w:p w14:paraId="329FCF0F" w14:textId="77777777" w:rsidR="005B3BCD" w:rsidRDefault="005B3BCD">
      <w:pPr>
        <w:pStyle w:val="a6"/>
        <w:widowControl/>
        <w:spacing w:beforeAutospacing="0" w:afterAutospacing="0"/>
        <w:jc w:val="center"/>
        <w:rPr>
          <w:rFonts w:ascii="微软雅黑" w:hAnsi="微软雅黑" w:cs="微软雅黑" w:hint="eastAsia"/>
          <w:b/>
          <w:bCs/>
          <w:color w:val="000000"/>
        </w:rPr>
      </w:pPr>
    </w:p>
    <w:p w14:paraId="37D73FB4" w14:textId="77777777" w:rsidR="005B3BCD" w:rsidRDefault="00000000">
      <w:pPr>
        <w:pStyle w:val="a6"/>
        <w:widowControl/>
        <w:spacing w:beforeAutospacing="0" w:afterAutospacing="0" w:line="240" w:lineRule="atLeast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</w:rPr>
        <w:t>我们是谁</w:t>
      </w:r>
    </w:p>
    <w:p w14:paraId="57B3A5C8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康哲药业（867.HK）是一家链接医药创新与商业化，把控产品全生命周期管理的开放式平台型企业，致力于提供有竞争力的产品和服务，满足尚未满足的医疗需求。</w:t>
      </w:r>
    </w:p>
    <w:p w14:paraId="21EBD375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21"/>
          <w:szCs w:val="21"/>
        </w:rPr>
        <w:t>创立于1992年，2010年香港主板上市</w:t>
      </w:r>
    </w:p>
    <w:p w14:paraId="6F1BF542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21"/>
          <w:szCs w:val="21"/>
        </w:rPr>
        <w:t>2025年新加坡交易所二次上市</w:t>
      </w:r>
    </w:p>
    <w:p w14:paraId="1E9CE94D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21"/>
          <w:szCs w:val="21"/>
        </w:rPr>
        <w:t>86.2亿营业额</w:t>
      </w:r>
    </w:p>
    <w:p w14:paraId="04AF006C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21"/>
          <w:szCs w:val="21"/>
        </w:rPr>
        <w:t>（若全按药品销售收入计算）</w:t>
      </w:r>
    </w:p>
    <w:p w14:paraId="48AFF3B8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sz w:val="21"/>
          <w:szCs w:val="21"/>
        </w:rPr>
        <w:t>约40</w:t>
      </w:r>
      <w:r>
        <w:rPr>
          <w:rFonts w:ascii="微软雅黑" w:hAnsi="微软雅黑" w:cs="微软雅黑" w:hint="eastAsia"/>
          <w:sz w:val="21"/>
          <w:szCs w:val="21"/>
        </w:rPr>
        <w:t>项差异</w:t>
      </w:r>
      <w:proofErr w:type="gramStart"/>
      <w:r>
        <w:rPr>
          <w:rFonts w:ascii="微软雅黑" w:hAnsi="微软雅黑" w:cs="微软雅黑" w:hint="eastAsia"/>
          <w:sz w:val="21"/>
          <w:szCs w:val="21"/>
        </w:rPr>
        <w:t>化</w:t>
      </w:r>
      <w:r>
        <w:rPr>
          <w:rFonts w:ascii="微软雅黑" w:hAnsi="微软雅黑" w:cs="微软雅黑"/>
          <w:sz w:val="21"/>
          <w:szCs w:val="21"/>
        </w:rPr>
        <w:t>创新</w:t>
      </w:r>
      <w:proofErr w:type="gramEnd"/>
      <w:r>
        <w:rPr>
          <w:rFonts w:ascii="微软雅黑" w:hAnsi="微软雅黑" w:cs="微软雅黑" w:hint="eastAsia"/>
          <w:sz w:val="21"/>
          <w:szCs w:val="21"/>
        </w:rPr>
        <w:t>管线</w:t>
      </w:r>
    </w:p>
    <w:p w14:paraId="2125B46F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  <w:sz w:val="21"/>
          <w:szCs w:val="21"/>
        </w:rPr>
      </w:pPr>
      <w:r>
        <w:rPr>
          <w:rFonts w:ascii="微软雅黑" w:hAnsi="微软雅黑" w:cs="微软雅黑"/>
          <w:sz w:val="21"/>
          <w:szCs w:val="21"/>
        </w:rPr>
        <w:t>6000+</w:t>
      </w:r>
      <w:r>
        <w:rPr>
          <w:rFonts w:ascii="微软雅黑" w:hAnsi="微软雅黑" w:cs="微软雅黑" w:hint="eastAsia"/>
          <w:sz w:val="21"/>
          <w:szCs w:val="21"/>
        </w:rPr>
        <w:t xml:space="preserve"> </w:t>
      </w:r>
      <w:proofErr w:type="gramStart"/>
      <w:r>
        <w:rPr>
          <w:rFonts w:ascii="微软雅黑" w:hAnsi="微软雅黑" w:cs="微软雅黑" w:hint="eastAsia"/>
          <w:sz w:val="21"/>
          <w:szCs w:val="21"/>
        </w:rPr>
        <w:t>位</w:t>
      </w:r>
      <w:r>
        <w:rPr>
          <w:rFonts w:ascii="微软雅黑" w:hAnsi="微软雅黑" w:cs="微软雅黑"/>
          <w:sz w:val="21"/>
          <w:szCs w:val="21"/>
        </w:rPr>
        <w:t>集团</w:t>
      </w:r>
      <w:proofErr w:type="gramEnd"/>
      <w:r>
        <w:rPr>
          <w:rFonts w:ascii="微软雅黑" w:hAnsi="微软雅黑" w:cs="微软雅黑"/>
          <w:sz w:val="21"/>
          <w:szCs w:val="21"/>
        </w:rPr>
        <w:t>员工</w:t>
      </w:r>
    </w:p>
    <w:p w14:paraId="3E87D0F4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  <w:color w:val="000000"/>
          <w:sz w:val="21"/>
          <w:szCs w:val="21"/>
        </w:rPr>
      </w:pPr>
      <w:r>
        <w:rPr>
          <w:rFonts w:ascii="微软雅黑" w:hAnsi="微软雅黑" w:cs="微软雅黑"/>
          <w:sz w:val="21"/>
          <w:szCs w:val="21"/>
        </w:rPr>
        <w:t>销售网络覆盖</w:t>
      </w:r>
      <w:r>
        <w:rPr>
          <w:rFonts w:ascii="微软雅黑" w:hAnsi="微软雅黑" w:cs="微软雅黑" w:hint="eastAsia"/>
          <w:sz w:val="21"/>
          <w:szCs w:val="21"/>
        </w:rPr>
        <w:t>：</w:t>
      </w:r>
    </w:p>
    <w:p w14:paraId="7B67F72E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&gt;5万家</w:t>
      </w:r>
      <w:r>
        <w:rPr>
          <w:rFonts w:ascii="微软雅黑" w:hAnsi="微软雅黑" w:cs="微软雅黑"/>
          <w:color w:val="000000"/>
          <w:sz w:val="21"/>
          <w:szCs w:val="21"/>
        </w:rPr>
        <w:t>医院及医疗机构</w:t>
      </w:r>
    </w:p>
    <w:p w14:paraId="5E82980B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约30万家</w:t>
      </w:r>
      <w:r>
        <w:rPr>
          <w:rFonts w:ascii="微软雅黑" w:hAnsi="微软雅黑" w:cs="微软雅黑"/>
          <w:color w:val="000000"/>
          <w:sz w:val="21"/>
          <w:szCs w:val="21"/>
        </w:rPr>
        <w:t>终端零售药店</w:t>
      </w:r>
    </w:p>
    <w:p w14:paraId="530FD368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18"/>
          <w:szCs w:val="18"/>
        </w:rPr>
        <w:t>*上述数据均截至2024年12月31日</w:t>
      </w:r>
    </w:p>
    <w:p w14:paraId="212E2ED3" w14:textId="77777777" w:rsidR="005B3BCD" w:rsidRDefault="005B3BCD">
      <w:pPr>
        <w:spacing w:beforeLines="50" w:before="193" w:afterLines="50" w:after="193"/>
        <w:jc w:val="center"/>
        <w:rPr>
          <w:rFonts w:ascii="微软雅黑" w:hAnsi="微软雅黑" w:cs="微软雅黑" w:hint="eastAsia"/>
          <w:sz w:val="18"/>
          <w:szCs w:val="18"/>
        </w:rPr>
      </w:pPr>
    </w:p>
    <w:p w14:paraId="03C719AA" w14:textId="77777777" w:rsidR="005B3BCD" w:rsidRDefault="005B3BCD">
      <w:pPr>
        <w:spacing w:beforeLines="50" w:before="193" w:afterLines="50" w:after="193"/>
        <w:rPr>
          <w:rFonts w:ascii="微软雅黑" w:hAnsi="微软雅黑" w:cs="微软雅黑" w:hint="eastAsia"/>
          <w:b/>
          <w:bCs/>
          <w:szCs w:val="21"/>
          <w:lang w:eastAsia="zh" w:bidi="ar"/>
        </w:rPr>
      </w:pPr>
    </w:p>
    <w:p w14:paraId="08304D67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前景可期：立足长青赛道，踏上无限生机的航程</w:t>
      </w:r>
    </w:p>
    <w:p w14:paraId="40161633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color w:val="000000"/>
          <w:sz w:val="21"/>
          <w:szCs w:val="21"/>
        </w:rPr>
      </w:pPr>
      <w:r>
        <w:rPr>
          <w:rFonts w:ascii="微软雅黑" w:hAnsi="微软雅黑" w:cs="微软雅黑"/>
          <w:color w:val="000000"/>
          <w:sz w:val="21"/>
          <w:szCs w:val="21"/>
        </w:rPr>
        <w:t>在医药改革深化、创新驱动为主的行业升级浪潮中，康哲药业锚定“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创新</w:t>
      </w:r>
      <w:r>
        <w:rPr>
          <w:rFonts w:ascii="微软雅黑" w:hAnsi="微软雅黑" w:cs="微软雅黑"/>
          <w:color w:val="000000"/>
          <w:sz w:val="21"/>
          <w:szCs w:val="21"/>
        </w:rPr>
        <w:t>+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专科</w:t>
      </w:r>
      <w:r>
        <w:rPr>
          <w:rFonts w:ascii="微软雅黑" w:hAnsi="微软雅黑" w:cs="微软雅黑"/>
          <w:color w:val="000000"/>
          <w:sz w:val="21"/>
          <w:szCs w:val="21"/>
        </w:rPr>
        <w:t>”的长青赛道，聚焦心脑血管、消化、皮肤健康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、</w:t>
      </w:r>
      <w:r>
        <w:rPr>
          <w:rFonts w:ascii="微软雅黑" w:hAnsi="微软雅黑" w:cs="微软雅黑"/>
          <w:color w:val="000000"/>
          <w:sz w:val="21"/>
          <w:szCs w:val="21"/>
        </w:rPr>
        <w:t>眼科等核心疾病领域，持续丰富产品组合与专家网络，精准把握市场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趋势与临床需求</w:t>
      </w:r>
      <w:r>
        <w:rPr>
          <w:rFonts w:ascii="微软雅黑" w:hAnsi="微软雅黑" w:cs="微软雅黑"/>
          <w:color w:val="000000"/>
          <w:sz w:val="21"/>
          <w:szCs w:val="21"/>
        </w:rPr>
        <w:t>。凭借卓越的商业化能力与前瞻布局，康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哲正在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多个细分赛道中持续突破，迎接医药行业的黄金发展期。</w:t>
      </w:r>
    </w:p>
    <w:p w14:paraId="2A5E7BB2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向新崛起：迈入崭新征程，焕发无限活力与</w:t>
      </w:r>
      <w:r>
        <w:rPr>
          <w:rFonts w:ascii="微软雅黑" w:hAnsi="微软雅黑" w:cs="微软雅黑" w:hint="eastAsia"/>
          <w:b/>
          <w:bCs/>
          <w:color w:val="000000"/>
          <w:sz w:val="21"/>
          <w:szCs w:val="21"/>
        </w:rPr>
        <w:t>动</w:t>
      </w: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能</w:t>
      </w:r>
    </w:p>
    <w:p w14:paraId="05BC14FD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color w:val="000000"/>
          <w:sz w:val="21"/>
          <w:szCs w:val="21"/>
        </w:rPr>
        <w:t>康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哲始终以前瞻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视角主动求变，完成三轮关键战略进化：</w:t>
      </w:r>
    </w:p>
    <w:p w14:paraId="1B7DDFAA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1992-2010年：</w:t>
      </w:r>
      <w:r>
        <w:rPr>
          <w:rFonts w:ascii="微软雅黑" w:hAnsi="微软雅黑" w:cs="微软雅黑"/>
          <w:color w:val="000000"/>
          <w:sz w:val="21"/>
          <w:szCs w:val="21"/>
        </w:rPr>
        <w:t>深耕推广体系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，成为</w:t>
      </w:r>
      <w:r>
        <w:rPr>
          <w:rFonts w:ascii="微软雅黑" w:hAnsi="微软雅黑" w:cs="微软雅黑"/>
          <w:color w:val="000000"/>
          <w:sz w:val="21"/>
          <w:szCs w:val="21"/>
        </w:rPr>
        <w:t>“中国最大CSO”；</w:t>
      </w:r>
    </w:p>
    <w:p w14:paraId="46FA479C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lastRenderedPageBreak/>
        <w:t>2010-2018年：</w:t>
      </w:r>
      <w:r>
        <w:rPr>
          <w:rFonts w:ascii="微软雅黑" w:hAnsi="微软雅黑" w:cs="微软雅黑"/>
          <w:color w:val="000000"/>
          <w:sz w:val="21"/>
          <w:szCs w:val="21"/>
        </w:rPr>
        <w:t>向Pharma企业转型，提升产品主控力；</w:t>
      </w:r>
    </w:p>
    <w:p w14:paraId="0A9A171F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2018年起</w:t>
      </w:r>
      <w:r>
        <w:rPr>
          <w:rFonts w:ascii="微软雅黑" w:hAnsi="微软雅黑" w:cs="微软雅黑"/>
          <w:color w:val="000000"/>
          <w:sz w:val="21"/>
          <w:szCs w:val="21"/>
        </w:rPr>
        <w:t>，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向“全链发展的创新药企”跃迁</w:t>
      </w:r>
      <w:r>
        <w:rPr>
          <w:rFonts w:ascii="微软雅黑" w:hAnsi="微软雅黑" w:cs="微软雅黑"/>
          <w:color w:val="000000"/>
          <w:sz w:val="21"/>
          <w:szCs w:val="21"/>
        </w:rPr>
        <w:t>，开启“新康哲”时代。</w:t>
      </w:r>
    </w:p>
    <w:p w14:paraId="5475C5DF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color w:val="000000"/>
          <w:sz w:val="21"/>
          <w:szCs w:val="21"/>
        </w:rPr>
      </w:pPr>
      <w:r>
        <w:rPr>
          <w:rFonts w:ascii="微软雅黑" w:hAnsi="微软雅黑" w:cs="微软雅黑"/>
          <w:color w:val="000000"/>
          <w:sz w:val="21"/>
          <w:szCs w:val="21"/>
        </w:rPr>
        <w:t>站在战略进化的新起点上，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康哲正加速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迈入高质量发展的新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阶段</w:t>
      </w:r>
      <w:r>
        <w:rPr>
          <w:rFonts w:ascii="微软雅黑" w:hAnsi="微软雅黑" w:cs="微软雅黑"/>
          <w:color w:val="000000"/>
          <w:sz w:val="21"/>
          <w:szCs w:val="21"/>
        </w:rPr>
        <w:t>。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持续丰富</w:t>
      </w:r>
      <w:r>
        <w:rPr>
          <w:rFonts w:ascii="微软雅黑" w:hAnsi="微软雅黑" w:cs="微软雅黑"/>
          <w:color w:val="000000"/>
          <w:sz w:val="21"/>
          <w:szCs w:val="21"/>
        </w:rPr>
        <w:t>产品管线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，</w:t>
      </w:r>
      <w:r>
        <w:rPr>
          <w:rFonts w:ascii="微软雅黑" w:hAnsi="微软雅黑" w:cs="微软雅黑"/>
          <w:color w:val="000000"/>
          <w:sz w:val="21"/>
          <w:szCs w:val="21"/>
        </w:rPr>
        <w:t>打造兼具差异化优势与市场可及性的产品组合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；聚焦专科赛道，并积极拓展新零售、新媒体、消费医疗等多元模式，提升</w:t>
      </w:r>
      <w:proofErr w:type="gramStart"/>
      <w:r>
        <w:rPr>
          <w:rFonts w:ascii="微软雅黑" w:hAnsi="微软雅黑" w:cs="微软雅黑" w:hint="eastAsia"/>
          <w:color w:val="000000"/>
          <w:sz w:val="21"/>
          <w:szCs w:val="21"/>
        </w:rPr>
        <w:t>终端触达与</w:t>
      </w:r>
      <w:proofErr w:type="gramEnd"/>
      <w:r>
        <w:rPr>
          <w:rFonts w:ascii="微软雅黑" w:hAnsi="微软雅黑" w:cs="微软雅黑" w:hint="eastAsia"/>
          <w:color w:val="000000"/>
          <w:sz w:val="21"/>
          <w:szCs w:val="21"/>
        </w:rPr>
        <w:t>市场渗透力；</w:t>
      </w:r>
      <w:r>
        <w:rPr>
          <w:rFonts w:ascii="微软雅黑" w:hAnsi="微软雅黑" w:cs="微软雅黑"/>
          <w:color w:val="000000"/>
          <w:sz w:val="21"/>
          <w:szCs w:val="21"/>
        </w:rPr>
        <w:t>加快推进“产业国际化”战略，以新加坡为枢纽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构建“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研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、产、销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”</w:t>
      </w:r>
      <w:r>
        <w:rPr>
          <w:rFonts w:ascii="微软雅黑" w:hAnsi="微软雅黑" w:cs="微软雅黑"/>
          <w:color w:val="000000"/>
          <w:sz w:val="21"/>
          <w:szCs w:val="21"/>
        </w:rPr>
        <w:t>全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生态</w:t>
      </w:r>
      <w:r>
        <w:rPr>
          <w:rFonts w:ascii="微软雅黑" w:hAnsi="微软雅黑" w:cs="微软雅黑"/>
          <w:color w:val="000000"/>
          <w:sz w:val="21"/>
          <w:szCs w:val="21"/>
        </w:rPr>
        <w:t>链</w:t>
      </w:r>
      <w:r>
        <w:rPr>
          <w:rFonts w:ascii="微软雅黑" w:hAnsi="微软雅黑" w:cs="微软雅黑" w:hint="eastAsia"/>
          <w:color w:val="000000"/>
          <w:sz w:val="21"/>
          <w:szCs w:val="21"/>
        </w:rPr>
        <w:t>国际化业务体系，</w:t>
      </w:r>
      <w:r>
        <w:rPr>
          <w:rFonts w:ascii="微软雅黑" w:hAnsi="微软雅黑" w:cs="微软雅黑"/>
          <w:color w:val="000000"/>
          <w:sz w:val="21"/>
          <w:szCs w:val="21"/>
        </w:rPr>
        <w:t>打造多区域增长格局。通过新产品、新模式与新市场的协同发力，推动业务规模与质量同步跃升。</w:t>
      </w:r>
    </w:p>
    <w:p w14:paraId="4534CC09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专业致</w:t>
      </w:r>
      <w:r>
        <w:rPr>
          <w:rFonts w:ascii="微软雅黑" w:hAnsi="微软雅黑" w:cs="微软雅黑" w:hint="eastAsia"/>
          <w:b/>
          <w:bCs/>
          <w:color w:val="000000"/>
          <w:sz w:val="21"/>
          <w:szCs w:val="21"/>
        </w:rPr>
        <w:t>远</w:t>
      </w: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：</w:t>
      </w:r>
      <w:r>
        <w:rPr>
          <w:rFonts w:ascii="微软雅黑" w:hAnsi="微软雅黑" w:cs="微软雅黑" w:hint="eastAsia"/>
          <w:b/>
          <w:bCs/>
          <w:color w:val="000000"/>
          <w:sz w:val="21"/>
          <w:szCs w:val="21"/>
        </w:rPr>
        <w:t>坚守</w:t>
      </w: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专业创新，</w:t>
      </w:r>
      <w:r>
        <w:rPr>
          <w:rFonts w:ascii="微软雅黑" w:hAnsi="微软雅黑" w:cs="微软雅黑" w:hint="eastAsia"/>
          <w:b/>
          <w:bCs/>
          <w:color w:val="000000"/>
          <w:sz w:val="21"/>
          <w:szCs w:val="21"/>
        </w:rPr>
        <w:t>开创卓越共赢</w:t>
      </w:r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的未来</w:t>
      </w:r>
    </w:p>
    <w:p w14:paraId="15844ED0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color w:val="000000"/>
          <w:sz w:val="21"/>
          <w:szCs w:val="21"/>
        </w:rPr>
      </w:pPr>
      <w:r>
        <w:rPr>
          <w:rFonts w:ascii="微软雅黑" w:hAnsi="微软雅黑" w:cs="微软雅黑"/>
          <w:color w:val="000000"/>
          <w:sz w:val="21"/>
          <w:szCs w:val="21"/>
        </w:rPr>
        <w:t>康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哲坚持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以专业立身，与多家国际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领先药企建立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深度合作，持续对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标先进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的产品理念、推广体系与合</w:t>
      </w:r>
      <w:proofErr w:type="gramStart"/>
      <w:r>
        <w:rPr>
          <w:rFonts w:ascii="微软雅黑" w:hAnsi="微软雅黑" w:cs="微软雅黑"/>
          <w:color w:val="000000"/>
          <w:sz w:val="21"/>
          <w:szCs w:val="21"/>
        </w:rPr>
        <w:t>规</w:t>
      </w:r>
      <w:proofErr w:type="gramEnd"/>
      <w:r>
        <w:rPr>
          <w:rFonts w:ascii="微软雅黑" w:hAnsi="微软雅黑" w:cs="微软雅黑"/>
          <w:color w:val="000000"/>
          <w:sz w:val="21"/>
          <w:szCs w:val="21"/>
        </w:rPr>
        <w:t>标准。在组织能力、管理机制、人才培养等多个层面，不断拓展专业边界，打造兼具本地洞察与全球视野的高质量平台。</w:t>
      </w:r>
    </w:p>
    <w:p w14:paraId="0FD0375D" w14:textId="77777777" w:rsidR="005B3BCD" w:rsidRDefault="005B3BCD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color w:val="000000"/>
          <w:sz w:val="21"/>
          <w:szCs w:val="21"/>
        </w:rPr>
      </w:pPr>
    </w:p>
    <w:p w14:paraId="41E8AE4C" w14:textId="77777777" w:rsidR="005B3BCD" w:rsidRDefault="005B3BCD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color w:val="000000"/>
          <w:sz w:val="21"/>
          <w:szCs w:val="21"/>
        </w:rPr>
      </w:pPr>
    </w:p>
    <w:p w14:paraId="16736657" w14:textId="77777777" w:rsidR="005B3BCD" w:rsidRDefault="00000000">
      <w:pPr>
        <w:pStyle w:val="a6"/>
        <w:widowControl/>
        <w:autoSpaceDE w:val="0"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  <w:kern w:val="2"/>
          <w:sz w:val="21"/>
          <w:szCs w:val="21"/>
          <w:lang w:eastAsia="zh" w:bidi="ar"/>
        </w:rPr>
      </w:pPr>
      <w:r>
        <w:rPr>
          <w:rFonts w:ascii="微软雅黑" w:hAnsi="微软雅黑" w:cs="微软雅黑"/>
          <w:b/>
          <w:bCs/>
          <w:color w:val="000000"/>
        </w:rPr>
        <w:t>我们需要</w:t>
      </w:r>
    </w:p>
    <w:tbl>
      <w:tblPr>
        <w:tblW w:w="5431" w:type="pct"/>
        <w:tblInd w:w="-382" w:type="dxa"/>
        <w:tblLayout w:type="fixed"/>
        <w:tblLook w:val="04A0" w:firstRow="1" w:lastRow="0" w:firstColumn="1" w:lastColumn="0" w:noHBand="0" w:noVBand="1"/>
      </w:tblPr>
      <w:tblGrid>
        <w:gridCol w:w="1437"/>
        <w:gridCol w:w="1063"/>
        <w:gridCol w:w="700"/>
        <w:gridCol w:w="593"/>
        <w:gridCol w:w="1102"/>
        <w:gridCol w:w="3028"/>
        <w:gridCol w:w="3434"/>
      </w:tblGrid>
      <w:tr w:rsidR="005B3BCD" w14:paraId="5E895120" w14:textId="77777777">
        <w:trPr>
          <w:trHeight w:val="293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  <w:vAlign w:val="center"/>
          </w:tcPr>
          <w:p w14:paraId="6429CB14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类别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  <w:vAlign w:val="center"/>
          </w:tcPr>
          <w:p w14:paraId="3260B64D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岗位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  <w:vAlign w:val="center"/>
          </w:tcPr>
          <w:p w14:paraId="433E815D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  <w:vAlign w:val="center"/>
          </w:tcPr>
          <w:p w14:paraId="4FF59B02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地点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  <w:vAlign w:val="center"/>
          </w:tcPr>
          <w:p w14:paraId="1C488DD8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薪资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</w:tcPr>
          <w:p w14:paraId="26766373" w14:textId="77777777" w:rsidR="005B3BCD" w:rsidRDefault="00000000">
            <w:pPr>
              <w:widowControl/>
              <w:jc w:val="center"/>
              <w:textAlignment w:val="top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岗位职责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FCECE"/>
          </w:tcPr>
          <w:p w14:paraId="26D1ED4C" w14:textId="77777777" w:rsidR="005B3BCD" w:rsidRDefault="00000000">
            <w:pPr>
              <w:widowControl/>
              <w:jc w:val="center"/>
              <w:textAlignment w:val="top"/>
              <w:rPr>
                <w:rFonts w:ascii="微软雅黑" w:hAnsi="微软雅黑" w:cs="微软雅黑" w:hint="eastAsia"/>
                <w:b/>
                <w:bCs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b/>
                <w:bCs/>
                <w:kern w:val="0"/>
                <w:sz w:val="20"/>
                <w:szCs w:val="20"/>
                <w:lang w:bidi="ar"/>
              </w:rPr>
              <w:t>任职资格</w:t>
            </w:r>
          </w:p>
        </w:tc>
      </w:tr>
      <w:tr w:rsidR="005B3BCD" w14:paraId="18BD1D14" w14:textId="77777777">
        <w:trPr>
          <w:trHeight w:val="2498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34A1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产品管培生</w:t>
            </w:r>
            <w:proofErr w:type="gramEnd"/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1F5EF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创新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研发管培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生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48573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6C64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天津</w:t>
            </w:r>
          </w:p>
        </w:tc>
        <w:tc>
          <w:tcPr>
            <w:tcW w:w="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E31D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10000元/月起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一人一议，上不封顶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9E82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投后项目的科研管理，新药的学术评估和现场尽调，研发方向专题分析。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CC4C" w14:textId="77777777" w:rsidR="005B3BCD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硕士及以上学位，药学、药理学、毒理学、临床医学、分子生物学、细胞生物学、免疫学等专业优先。</w:t>
            </w:r>
          </w:p>
          <w:p w14:paraId="7C926F19" w14:textId="77777777" w:rsidR="005B3BCD" w:rsidRDefault="00000000">
            <w:pPr>
              <w:widowControl/>
              <w:numPr>
                <w:ilvl w:val="0"/>
                <w:numId w:val="1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CET-6及以上水平，口语能力良好者优先。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3. 具有科研项目管理、新药评估，专利分析或撰写经验者优先。</w:t>
            </w:r>
          </w:p>
        </w:tc>
      </w:tr>
      <w:tr w:rsidR="005B3BCD" w14:paraId="5294C77C" w14:textId="77777777">
        <w:trPr>
          <w:trHeight w:val="1943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139A5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医学解决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方案管培生</w:t>
            </w:r>
            <w:proofErr w:type="gramEnd"/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D3D50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医学解决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方案管培生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（HSM）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6261D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110B5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D85A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10200元/月+人才奖励计划</w:t>
            </w: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E46A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医学事务：跟踪治疗领域的循证医学研究进展，收集、整理和分析文献资料；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临床项目管理：协助项目经理进行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临床项目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的策划、组织和实施，参与临床研究中心的筛选和评估。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989AE" w14:textId="77777777" w:rsidR="005B3BCD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硕士及以上学位，临床医学及临床相关专业。</w:t>
            </w:r>
          </w:p>
          <w:p w14:paraId="3CB3A384" w14:textId="77777777" w:rsidR="005B3BCD" w:rsidRDefault="00000000">
            <w:pPr>
              <w:widowControl/>
              <w:numPr>
                <w:ilvl w:val="0"/>
                <w:numId w:val="2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CET-6及以上水平，口语能力良好者优先。</w:t>
            </w:r>
          </w:p>
        </w:tc>
      </w:tr>
      <w:tr w:rsidR="005B3BCD" w14:paraId="0797A8BF" w14:textId="77777777">
        <w:trPr>
          <w:trHeight w:val="1943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0B5B34B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市场管培生</w:t>
            </w:r>
            <w:proofErr w:type="gramEnd"/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C1684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市场管培生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（心脑血管及消化业务）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8B0B9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A330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5D8D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EC078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产品方向：产品市场分析，产品策略、市场活动的策划，学术会议、学术资料筹备；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推广方向：落实产品推广策略及方案，收集归纳营销团队诉求，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为产品推广服务。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A71B1" w14:textId="77777777" w:rsidR="005B3BCD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硕士及以上学位，医学、药学、生物等相关专业。</w:t>
            </w:r>
          </w:p>
          <w:p w14:paraId="5A9872AF" w14:textId="77777777" w:rsidR="005B3BCD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良好的沟通表达、应变协调能力。</w:t>
            </w:r>
          </w:p>
          <w:p w14:paraId="25749D2F" w14:textId="77777777" w:rsidR="005B3BCD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有药企市场营销相关实习经验优先。</w:t>
            </w:r>
          </w:p>
          <w:p w14:paraId="05BEE659" w14:textId="77777777" w:rsidR="005B3BCD" w:rsidRDefault="00000000">
            <w:pPr>
              <w:widowControl/>
              <w:numPr>
                <w:ilvl w:val="0"/>
                <w:numId w:val="3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lastRenderedPageBreak/>
              <w:t>英语口语良好优先。</w:t>
            </w:r>
          </w:p>
        </w:tc>
      </w:tr>
      <w:tr w:rsidR="005B3BCD" w14:paraId="0575E032" w14:textId="77777777">
        <w:trPr>
          <w:trHeight w:val="1110"/>
        </w:trPr>
        <w:tc>
          <w:tcPr>
            <w:tcW w:w="6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3154A4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90CB0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市场管培生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（眼科业务）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8B878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9A916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8947F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AE5F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F2B03" w14:textId="77777777" w:rsidR="005B3BCD" w:rsidRDefault="00000000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硕士及以上学位，药学、医学、生物学及相关专业，眼科相关专业优先。</w:t>
            </w:r>
          </w:p>
          <w:p w14:paraId="7671C3EA" w14:textId="77777777" w:rsidR="005B3BCD" w:rsidRDefault="00000000">
            <w:pPr>
              <w:widowControl/>
              <w:numPr>
                <w:ilvl w:val="0"/>
                <w:numId w:val="4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CET-6及以上水平。</w:t>
            </w:r>
          </w:p>
        </w:tc>
      </w:tr>
      <w:tr w:rsidR="005B3BCD" w14:paraId="23A56EB3" w14:textId="77777777">
        <w:trPr>
          <w:trHeight w:val="1665"/>
        </w:trPr>
        <w:tc>
          <w:tcPr>
            <w:tcW w:w="6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69F21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37AF8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市场管培生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美业务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美BU）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16EF6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984C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上海</w:t>
            </w: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A002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44511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协助产品品牌市场工作，在指导下完成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产品市调数据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的采集整理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eastAsia="zh" w:bidi="ar"/>
              </w:rPr>
              <w:t>、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市场品牌活动执行与策划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eastAsia="zh" w:bidi="ar"/>
              </w:rPr>
              <w:t>、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媒介平台运营与执行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eastAsia="zh" w:bidi="ar"/>
              </w:rPr>
              <w:t>、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品牌物料输出等工作。</w:t>
            </w:r>
          </w:p>
        </w:tc>
        <w:tc>
          <w:tcPr>
            <w:tcW w:w="15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A7CF0" w14:textId="77777777" w:rsidR="005B3BCD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硕士及以上学位，整形外科、医疗美容等相关专业。</w:t>
            </w:r>
          </w:p>
          <w:p w14:paraId="5D57BBE8" w14:textId="77777777" w:rsidR="005B3BCD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良好的数据分析、沟通表达、学习能力和抗压能力。</w:t>
            </w:r>
          </w:p>
          <w:p w14:paraId="09D0A061" w14:textId="77777777" w:rsidR="005B3BCD" w:rsidRDefault="00000000">
            <w:pPr>
              <w:widowControl/>
              <w:numPr>
                <w:ilvl w:val="0"/>
                <w:numId w:val="5"/>
              </w:numPr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CET-6及以上水平。</w:t>
            </w:r>
          </w:p>
        </w:tc>
      </w:tr>
      <w:tr w:rsidR="005B3BCD" w14:paraId="6A93C1DB" w14:textId="77777777">
        <w:trPr>
          <w:trHeight w:val="1665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948B1E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销售管培生</w:t>
            </w:r>
            <w:proofErr w:type="gramEnd"/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9B952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销售管培生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（心脑血管及消化业务）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733D6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26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CC89AA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全国</w:t>
            </w:r>
          </w:p>
          <w:p w14:paraId="28C9E7F8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D4EB2F" w14:textId="77777777" w:rsidR="005B3BCD" w:rsidRDefault="00000000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sz w:val="20"/>
                <w:szCs w:val="20"/>
              </w:rPr>
              <w:t>12000元/月起+人才奖励计划</w:t>
            </w:r>
          </w:p>
          <w:p w14:paraId="574F5EF6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FAEAFF" w14:textId="77777777" w:rsidR="005B3BCD" w:rsidRDefault="00000000">
            <w:pPr>
              <w:widowControl/>
              <w:jc w:val="left"/>
              <w:rPr>
                <w:rFonts w:ascii="微软雅黑" w:hAnsi="微软雅黑" w:cs="微软雅黑" w:hint="eastAsia"/>
                <w:sz w:val="16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向医疗专业人士精准传递核心产品信息，并策划执行学术活动以搭建交流平台。同时，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需系统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构建客户关系，洞察市场动态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与竞品信息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，确保合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规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达成市场目标，并持续提升产品知识与市场管理技能。</w:t>
            </w:r>
          </w:p>
          <w:p w14:paraId="2715F422" w14:textId="77777777" w:rsidR="005B3BCD" w:rsidRDefault="005B3BCD">
            <w:pPr>
              <w:rPr>
                <w:b/>
                <w:bCs/>
              </w:rPr>
            </w:pPr>
          </w:p>
        </w:tc>
        <w:tc>
          <w:tcPr>
            <w:tcW w:w="150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43785F" w14:textId="77777777" w:rsidR="005B3BCD" w:rsidRDefault="00000000">
            <w:pPr>
              <w:widowControl/>
              <w:numPr>
                <w:ilvl w:val="0"/>
                <w:numId w:val="6"/>
              </w:numPr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硕士及以上学位，医药相关专业优先，其他专业择优。</w:t>
            </w:r>
          </w:p>
          <w:p w14:paraId="076D9AF3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2. 具备良好的沟通协作、学习创新、数据洞察与抗压执行能力，富有敬业精神与内在驱动力。</w:t>
            </w:r>
          </w:p>
          <w:p w14:paraId="12DE05DE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3. 具备扎实的医学、药学基础，能快速学习并深入掌握公司产品与疾病领域知识。</w:t>
            </w:r>
          </w:p>
        </w:tc>
      </w:tr>
      <w:tr w:rsidR="005B3BCD" w14:paraId="379C2F2A" w14:textId="77777777">
        <w:trPr>
          <w:trHeight w:val="1665"/>
        </w:trPr>
        <w:tc>
          <w:tcPr>
            <w:tcW w:w="6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0CED7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BF79C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销售管培生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（眼科业务）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6C58E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F5C708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E14DB4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6EDD64" w14:textId="77777777" w:rsidR="005B3BCD" w:rsidRDefault="005B3BCD"/>
        </w:tc>
        <w:tc>
          <w:tcPr>
            <w:tcW w:w="1509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30077D" w14:textId="77777777" w:rsidR="005B3BCD" w:rsidRDefault="005B3BCD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</w:tr>
      <w:tr w:rsidR="005B3BCD" w14:paraId="57C3BAD5" w14:textId="77777777">
        <w:trPr>
          <w:trHeight w:val="270"/>
        </w:trPr>
        <w:tc>
          <w:tcPr>
            <w:tcW w:w="63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CA2643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实习代表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AC788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实习代表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（心脑血管及消化业务）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59B87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500</w:t>
            </w:r>
          </w:p>
        </w:tc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9C4BD5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F049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4100~5600元/月+交通补贴+奖金</w:t>
            </w:r>
          </w:p>
        </w:tc>
        <w:tc>
          <w:tcPr>
            <w:tcW w:w="133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00C6A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18"/>
                <w:szCs w:val="18"/>
                <w:lang w:bidi="ar"/>
              </w:rPr>
              <w:t>通过医院拜访和学术活动，传递最新信息，促进产品的正确使用。</w:t>
            </w:r>
          </w:p>
        </w:tc>
        <w:tc>
          <w:tcPr>
            <w:tcW w:w="15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92DED" w14:textId="77777777" w:rsidR="005B3BCD" w:rsidRDefault="00000000">
            <w:pPr>
              <w:widowControl/>
              <w:jc w:val="left"/>
              <w:textAlignment w:val="top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18"/>
                <w:szCs w:val="18"/>
                <w:lang w:bidi="ar"/>
              </w:rPr>
              <w:t>本科及以上学历，医药卫生及相关专业优先考虑。</w:t>
            </w:r>
          </w:p>
        </w:tc>
      </w:tr>
      <w:tr w:rsidR="005B3BCD" w14:paraId="5EC9FED9" w14:textId="77777777">
        <w:trPr>
          <w:trHeight w:val="555"/>
        </w:trPr>
        <w:tc>
          <w:tcPr>
            <w:tcW w:w="633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E36023" w14:textId="77777777" w:rsidR="005B3BCD" w:rsidRDefault="005B3BCD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BE1A0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实习代表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（眼科业务）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B98D5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261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62F7D3" w14:textId="77777777" w:rsidR="005B3BCD" w:rsidRDefault="005B3BCD">
            <w:pPr>
              <w:jc w:val="center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A2853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EDB8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15F19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</w:tr>
      <w:tr w:rsidR="005B3BCD" w14:paraId="6EF52A49" w14:textId="77777777">
        <w:trPr>
          <w:trHeight w:val="833"/>
        </w:trPr>
        <w:tc>
          <w:tcPr>
            <w:tcW w:w="633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2B097" w14:textId="77777777" w:rsidR="005B3BCD" w:rsidRDefault="005B3BCD">
            <w:pPr>
              <w:widowControl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D3798" w14:textId="77777777" w:rsidR="005B3BCD" w:rsidRDefault="00000000">
            <w:pPr>
              <w:widowControl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实习代表</w:t>
            </w: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br/>
              <w:t>（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美业务</w:t>
            </w:r>
            <w:proofErr w:type="gramStart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医</w:t>
            </w:r>
            <w:proofErr w:type="gramEnd"/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美BU）</w:t>
            </w:r>
          </w:p>
        </w:tc>
        <w:tc>
          <w:tcPr>
            <w:tcW w:w="3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A988A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sz w:val="20"/>
                <w:szCs w:val="20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6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AA333" w14:textId="77777777" w:rsidR="005B3BCD" w:rsidRDefault="005B3BCD">
            <w:pPr>
              <w:jc w:val="center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48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3B6CA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33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8465D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  <w:tc>
          <w:tcPr>
            <w:tcW w:w="15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3599" w14:textId="77777777" w:rsidR="005B3BCD" w:rsidRDefault="005B3BCD">
            <w:pPr>
              <w:jc w:val="left"/>
              <w:rPr>
                <w:rFonts w:ascii="微软雅黑" w:hAnsi="微软雅黑" w:cs="微软雅黑" w:hint="eastAsia"/>
                <w:sz w:val="20"/>
                <w:szCs w:val="20"/>
              </w:rPr>
            </w:pPr>
          </w:p>
        </w:tc>
      </w:tr>
      <w:tr w:rsidR="005B3BCD" w14:paraId="3195AB1F" w14:textId="77777777">
        <w:trPr>
          <w:gridAfter w:val="5"/>
          <w:wAfter w:w="3897" w:type="pct"/>
          <w:trHeight w:val="833"/>
        </w:trPr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2E86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9BC31" w14:textId="77777777" w:rsidR="005B3BCD" w:rsidRDefault="00000000">
            <w:pPr>
              <w:widowControl/>
              <w:jc w:val="center"/>
              <w:textAlignment w:val="center"/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微软雅黑" w:hAnsi="微软雅黑" w:cs="微软雅黑" w:hint="eastAsia"/>
                <w:kern w:val="0"/>
                <w:sz w:val="20"/>
                <w:szCs w:val="20"/>
                <w:lang w:bidi="ar"/>
              </w:rPr>
              <w:t>864</w:t>
            </w:r>
          </w:p>
        </w:tc>
      </w:tr>
    </w:tbl>
    <w:p w14:paraId="55D29FE6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kern w:val="2"/>
          <w:sz w:val="21"/>
          <w:szCs w:val="21"/>
          <w:lang w:bidi="ar"/>
        </w:rPr>
      </w:pPr>
      <w:r>
        <w:rPr>
          <w:rFonts w:ascii="微软雅黑" w:hAnsi="微软雅黑" w:cs="微软雅黑" w:hint="eastAsia"/>
          <w:kern w:val="2"/>
          <w:sz w:val="21"/>
          <w:szCs w:val="21"/>
          <w:lang w:bidi="ar"/>
        </w:rPr>
        <w:t>备注:</w:t>
      </w:r>
    </w:p>
    <w:p w14:paraId="0C4D1A04" w14:textId="77777777" w:rsidR="005B3BCD" w:rsidRDefault="005B3BCD">
      <w:pPr>
        <w:pStyle w:val="a6"/>
        <w:widowControl/>
        <w:spacing w:beforeLines="50" w:before="193" w:beforeAutospacing="0" w:afterLines="50" w:after="193" w:afterAutospacing="0"/>
        <w:jc w:val="both"/>
        <w:rPr>
          <w:rFonts w:ascii="微软雅黑" w:hAnsi="微软雅黑" w:cs="微软雅黑" w:hint="eastAsia"/>
          <w:kern w:val="2"/>
          <w:sz w:val="21"/>
          <w:szCs w:val="21"/>
          <w:lang w:eastAsia="zh" w:bidi="ar"/>
        </w:rPr>
      </w:pPr>
    </w:p>
    <w:p w14:paraId="04EBCEAB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</w:rPr>
        <w:t>我们提供</w:t>
      </w:r>
    </w:p>
    <w:p w14:paraId="656426F9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sz w:val="21"/>
          <w:szCs w:val="21"/>
        </w:rPr>
        <w:t>应届生特别福利：</w:t>
      </w:r>
    </w:p>
    <w:p w14:paraId="4E3808C8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sz w:val="21"/>
          <w:szCs w:val="21"/>
        </w:rPr>
        <w:t>住宿/住房补贴</w:t>
      </w:r>
    </w:p>
    <w:p w14:paraId="56B5B0D4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proofErr w:type="gramStart"/>
      <w:r>
        <w:rPr>
          <w:rFonts w:ascii="微软雅黑" w:hAnsi="微软雅黑" w:cs="微软雅黑"/>
          <w:b/>
          <w:bCs/>
          <w:sz w:val="21"/>
          <w:szCs w:val="21"/>
        </w:rPr>
        <w:t>无忧职场生活</w:t>
      </w:r>
      <w:proofErr w:type="gramEnd"/>
      <w:r>
        <w:rPr>
          <w:rFonts w:ascii="微软雅黑" w:hAnsi="微软雅黑" w:cs="微软雅黑"/>
          <w:b/>
          <w:bCs/>
          <w:sz w:val="21"/>
          <w:szCs w:val="21"/>
        </w:rPr>
        <w:t>：</w:t>
      </w:r>
    </w:p>
    <w:p w14:paraId="134D9C7F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  <w:sz w:val="20"/>
          <w:szCs w:val="20"/>
        </w:rPr>
      </w:pPr>
      <w:r>
        <w:rPr>
          <w:rFonts w:ascii="微软雅黑" w:hAnsi="微软雅黑" w:cs="微软雅黑"/>
          <w:sz w:val="20"/>
          <w:szCs w:val="20"/>
        </w:rPr>
        <w:t>双休、五险</w:t>
      </w:r>
      <w:proofErr w:type="gramStart"/>
      <w:r>
        <w:rPr>
          <w:rFonts w:ascii="微软雅黑" w:hAnsi="微软雅黑" w:cs="微软雅黑"/>
          <w:sz w:val="20"/>
          <w:szCs w:val="20"/>
        </w:rPr>
        <w:t>一</w:t>
      </w:r>
      <w:proofErr w:type="gramEnd"/>
      <w:r>
        <w:rPr>
          <w:rFonts w:ascii="微软雅黑" w:hAnsi="微软雅黑" w:cs="微软雅黑"/>
          <w:sz w:val="20"/>
          <w:szCs w:val="20"/>
        </w:rPr>
        <w:t>金、商业保险、年度奖金、年度薪酬回顾、年度体检</w:t>
      </w:r>
      <w:r>
        <w:rPr>
          <w:rFonts w:ascii="微软雅黑" w:hAnsi="微软雅黑" w:cs="微软雅黑" w:hint="eastAsia"/>
          <w:sz w:val="20"/>
          <w:szCs w:val="20"/>
        </w:rPr>
        <w:t>、不定期团建</w:t>
      </w:r>
    </w:p>
    <w:p w14:paraId="237961B2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b/>
          <w:bCs/>
          <w:sz w:val="21"/>
          <w:szCs w:val="21"/>
        </w:rPr>
        <w:t>培养计划：</w:t>
      </w:r>
    </w:p>
    <w:p w14:paraId="02A5ADEE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sz w:val="20"/>
          <w:szCs w:val="20"/>
        </w:rPr>
        <w:t>一对一带教、在线学习、总部新员工培训、</w:t>
      </w:r>
      <w:r>
        <w:rPr>
          <w:rFonts w:ascii="微软雅黑" w:hAnsi="微软雅黑" w:cs="微软雅黑" w:hint="eastAsia"/>
          <w:sz w:val="20"/>
          <w:szCs w:val="20"/>
        </w:rPr>
        <w:t>在职</w:t>
      </w:r>
      <w:proofErr w:type="gramStart"/>
      <w:r>
        <w:rPr>
          <w:rFonts w:ascii="微软雅黑" w:hAnsi="微软雅黑" w:cs="微软雅黑" w:hint="eastAsia"/>
          <w:sz w:val="20"/>
          <w:szCs w:val="20"/>
        </w:rPr>
        <w:t>训战结合</w:t>
      </w:r>
      <w:proofErr w:type="gramEnd"/>
      <w:r>
        <w:rPr>
          <w:rFonts w:ascii="微软雅黑" w:hAnsi="微软雅黑" w:cs="微软雅黑" w:hint="eastAsia"/>
          <w:sz w:val="20"/>
          <w:szCs w:val="20"/>
        </w:rPr>
        <w:t>体系化培训</w:t>
      </w:r>
    </w:p>
    <w:p w14:paraId="290E22C8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rPr>
          <w:rFonts w:ascii="微软雅黑" w:hAnsi="微软雅黑" w:cs="微软雅黑" w:hint="eastAsia"/>
        </w:rPr>
      </w:pPr>
      <w:r>
        <w:rPr>
          <w:rFonts w:ascii="微软雅黑" w:hAnsi="微软雅黑" w:cs="微软雅黑"/>
          <w:sz w:val="21"/>
          <w:szCs w:val="21"/>
        </w:rPr>
        <w:t>（注：具体定岗福利存在差异，以最终结果为准）</w:t>
      </w:r>
    </w:p>
    <w:p w14:paraId="1E5929A7" w14:textId="77777777" w:rsidR="005B3BCD" w:rsidRDefault="005B3BCD">
      <w:pPr>
        <w:spacing w:beforeLines="50" w:before="193" w:afterLines="50" w:after="193"/>
        <w:jc w:val="left"/>
        <w:rPr>
          <w:rFonts w:ascii="微软雅黑" w:hAnsi="微软雅黑" w:cs="微软雅黑" w:hint="eastAsia"/>
          <w:kern w:val="0"/>
          <w:szCs w:val="21"/>
        </w:rPr>
      </w:pPr>
    </w:p>
    <w:p w14:paraId="5D9FB1B9" w14:textId="77777777" w:rsidR="005B3BCD" w:rsidRDefault="005B3BCD">
      <w:pPr>
        <w:spacing w:beforeLines="50" w:before="193" w:afterLines="50" w:after="193"/>
        <w:jc w:val="left"/>
        <w:rPr>
          <w:rFonts w:ascii="微软雅黑" w:hAnsi="微软雅黑" w:cs="微软雅黑" w:hint="eastAsia"/>
          <w:kern w:val="0"/>
          <w:szCs w:val="21"/>
        </w:rPr>
      </w:pPr>
    </w:p>
    <w:p w14:paraId="239DC26B" w14:textId="77777777" w:rsidR="005B3BCD" w:rsidRDefault="005B3BCD">
      <w:pPr>
        <w:spacing w:beforeLines="50" w:before="193" w:afterLines="50" w:after="193"/>
        <w:rPr>
          <w:rFonts w:ascii="微软雅黑" w:hAnsi="微软雅黑" w:cs="微软雅黑" w:hint="eastAsia"/>
        </w:rPr>
      </w:pPr>
    </w:p>
    <w:p w14:paraId="76384721" w14:textId="77777777" w:rsidR="005B3BCD" w:rsidRDefault="005B3BCD">
      <w:pPr>
        <w:spacing w:beforeLines="50" w:before="193" w:afterLines="50" w:after="193"/>
        <w:rPr>
          <w:rFonts w:ascii="微软雅黑" w:hAnsi="微软雅黑" w:cs="微软雅黑" w:hint="eastAsia"/>
        </w:rPr>
      </w:pPr>
    </w:p>
    <w:p w14:paraId="680DA908" w14:textId="77777777" w:rsidR="005B3BCD" w:rsidRDefault="00000000">
      <w:pPr>
        <w:spacing w:beforeLines="50" w:before="193" w:afterLines="50" w:after="193"/>
        <w:jc w:val="center"/>
        <w:rPr>
          <w:rFonts w:ascii="微软雅黑" w:hAnsi="微软雅黑" w:cs="微软雅黑" w:hint="eastAsia"/>
          <w:b/>
          <w:bCs/>
          <w:sz w:val="24"/>
        </w:rPr>
      </w:pPr>
      <w:r>
        <w:rPr>
          <w:rFonts w:ascii="微软雅黑" w:hAnsi="微软雅黑" w:cs="微软雅黑" w:hint="eastAsia"/>
          <w:b/>
          <w:bCs/>
          <w:sz w:val="24"/>
        </w:rPr>
        <w:t>关注我们</w:t>
      </w:r>
    </w:p>
    <w:p w14:paraId="6F1A9569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</w:rPr>
      </w:pPr>
      <w:proofErr w:type="gramStart"/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校招官网</w:t>
      </w:r>
      <w:proofErr w:type="gramEnd"/>
      <w:r>
        <w:rPr>
          <w:rFonts w:ascii="微软雅黑" w:hAnsi="微软雅黑" w:cs="微软雅黑"/>
          <w:b/>
          <w:bCs/>
          <w:color w:val="000000"/>
          <w:sz w:val="21"/>
          <w:szCs w:val="21"/>
        </w:rPr>
        <w:t>：</w:t>
      </w:r>
      <w:r>
        <w:rPr>
          <w:rFonts w:ascii="微软雅黑" w:hAnsi="微软雅黑" w:cs="微软雅黑"/>
          <w:color w:val="000000"/>
          <w:sz w:val="21"/>
          <w:szCs w:val="21"/>
        </w:rPr>
        <w:t>https://cmshr.zhiye.com/Campus</w:t>
      </w:r>
    </w:p>
    <w:p w14:paraId="69E2C07F" w14:textId="77777777" w:rsidR="005B3BCD" w:rsidRDefault="00000000">
      <w:pPr>
        <w:pStyle w:val="a6"/>
        <w:widowControl/>
        <w:spacing w:beforeLines="50" w:before="193" w:beforeAutospacing="0" w:afterLines="50" w:after="193" w:afterAutospacing="0"/>
        <w:jc w:val="center"/>
        <w:rPr>
          <w:rFonts w:ascii="微软雅黑" w:hAnsi="微软雅黑" w:cs="微软雅黑" w:hint="eastAsia"/>
          <w:color w:val="000000"/>
          <w:sz w:val="20"/>
          <w:szCs w:val="20"/>
        </w:rPr>
      </w:pPr>
      <w:r>
        <w:rPr>
          <w:rFonts w:ascii="微软雅黑" w:hAnsi="微软雅黑" w:cs="微软雅黑"/>
          <w:color w:val="000000"/>
          <w:sz w:val="20"/>
          <w:szCs w:val="20"/>
        </w:rPr>
        <w:t>(更多信息请搜索公众号“康哲招聘”/小红书“康哲药业招聘”/扫描下方二维码）</w:t>
      </w:r>
    </w:p>
    <w:p w14:paraId="3AFFC2F2" w14:textId="77777777" w:rsidR="005B3BCD" w:rsidRDefault="00000000">
      <w:pPr>
        <w:pStyle w:val="a6"/>
        <w:widowControl/>
        <w:spacing w:beforeLines="50" w:before="193" w:afterLines="50" w:after="193"/>
        <w:jc w:val="center"/>
        <w:rPr>
          <w:rFonts w:ascii="微软雅黑" w:hAnsi="微软雅黑" w:cs="微软雅黑" w:hint="eastAsia"/>
          <w:sz w:val="20"/>
          <w:szCs w:val="20"/>
        </w:rPr>
      </w:pPr>
      <w:r>
        <w:rPr>
          <w:rFonts w:ascii="微软雅黑" w:hAnsi="微软雅黑" w:cs="微软雅黑" w:hint="eastAsia"/>
          <w:noProof/>
        </w:rPr>
        <w:drawing>
          <wp:anchor distT="0" distB="0" distL="114300" distR="114300" simplePos="0" relativeHeight="251659264" behindDoc="1" locked="0" layoutInCell="1" allowOverlap="1" wp14:anchorId="3A60BC6F" wp14:editId="2C29BBCD">
            <wp:simplePos x="0" y="0"/>
            <wp:positionH relativeFrom="column">
              <wp:posOffset>1812925</wp:posOffset>
            </wp:positionH>
            <wp:positionV relativeFrom="paragraph">
              <wp:posOffset>59690</wp:posOffset>
            </wp:positionV>
            <wp:extent cx="1151890" cy="1151890"/>
            <wp:effectExtent l="0" t="0" r="10160" b="10160"/>
            <wp:wrapTight wrapText="bothSides">
              <wp:wrapPolygon edited="0">
                <wp:start x="0" y="0"/>
                <wp:lineTo x="0" y="21076"/>
                <wp:lineTo x="21076" y="21076"/>
                <wp:lineTo x="21076" y="0"/>
                <wp:lineTo x="0" y="0"/>
              </wp:wrapPolygon>
            </wp:wrapTight>
            <wp:docPr id="4" name="图片 4" descr="b0fe740d87724993472c29f890e66626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0fe740d87724993472c29f890e66626_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51890" cy="1151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cs="微软雅黑" w:hint="eastAsia"/>
          <w:noProof/>
        </w:rPr>
        <w:drawing>
          <wp:anchor distT="0" distB="0" distL="114300" distR="114300" simplePos="0" relativeHeight="251660288" behindDoc="1" locked="0" layoutInCell="1" allowOverlap="1" wp14:anchorId="58167A44" wp14:editId="715D77E3">
            <wp:simplePos x="0" y="0"/>
            <wp:positionH relativeFrom="column">
              <wp:posOffset>3427095</wp:posOffset>
            </wp:positionH>
            <wp:positionV relativeFrom="paragraph">
              <wp:posOffset>93980</wp:posOffset>
            </wp:positionV>
            <wp:extent cx="1114425" cy="1114425"/>
            <wp:effectExtent l="0" t="0" r="3175" b="3175"/>
            <wp:wrapThrough wrapText="bothSides">
              <wp:wrapPolygon edited="0">
                <wp:start x="0" y="0"/>
                <wp:lineTo x="0" y="21169"/>
                <wp:lineTo x="21169" y="21169"/>
                <wp:lineTo x="21169" y="0"/>
                <wp:lineTo x="0" y="0"/>
              </wp:wrapPolygon>
            </wp:wrapThrough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0E68C98" w14:textId="77777777" w:rsidR="005B3BCD" w:rsidRDefault="005B3BCD">
      <w:pPr>
        <w:pStyle w:val="a6"/>
        <w:widowControl/>
        <w:spacing w:beforeLines="50" w:before="193" w:afterLines="50" w:after="193"/>
        <w:rPr>
          <w:rFonts w:ascii="微软雅黑" w:hAnsi="微软雅黑" w:cs="微软雅黑" w:hint="eastAsia"/>
        </w:rPr>
      </w:pPr>
    </w:p>
    <w:p w14:paraId="27AC4C0E" w14:textId="77777777" w:rsidR="005B3BCD" w:rsidRDefault="00000000">
      <w:pPr>
        <w:spacing w:beforeLines="50" w:before="193" w:afterLines="50" w:after="193"/>
        <w:ind w:firstLineChars="1500" w:firstLine="3150"/>
        <w:rPr>
          <w:rFonts w:ascii="微软雅黑" w:hAnsi="微软雅黑" w:cs="微软雅黑" w:hint="eastAsia"/>
          <w:kern w:val="0"/>
          <w:szCs w:val="21"/>
        </w:rPr>
      </w:pPr>
      <w:r>
        <w:rPr>
          <w:rFonts w:ascii="微软雅黑" w:hAnsi="微软雅黑" w:cs="微软雅黑" w:hint="eastAsia"/>
          <w:kern w:val="0"/>
          <w:szCs w:val="21"/>
        </w:rPr>
        <w:t>公众号</w:t>
      </w:r>
      <w:proofErr w:type="gramStart"/>
      <w:r>
        <w:rPr>
          <w:rFonts w:ascii="微软雅黑" w:hAnsi="微软雅黑" w:cs="微软雅黑" w:hint="eastAsia"/>
          <w:kern w:val="0"/>
          <w:szCs w:val="21"/>
        </w:rPr>
        <w:t>二维码</w:t>
      </w:r>
      <w:proofErr w:type="gramEnd"/>
      <w:r>
        <w:rPr>
          <w:rFonts w:ascii="微软雅黑" w:hAnsi="微软雅黑" w:cs="微软雅黑" w:hint="eastAsia"/>
          <w:kern w:val="0"/>
          <w:szCs w:val="21"/>
        </w:rPr>
        <w:t xml:space="preserve">            小</w:t>
      </w:r>
      <w:proofErr w:type="gramStart"/>
      <w:r>
        <w:rPr>
          <w:rFonts w:ascii="微软雅黑" w:hAnsi="微软雅黑" w:cs="微软雅黑" w:hint="eastAsia"/>
          <w:kern w:val="0"/>
          <w:szCs w:val="21"/>
        </w:rPr>
        <w:t>红书二维</w:t>
      </w:r>
      <w:proofErr w:type="gramEnd"/>
      <w:r>
        <w:rPr>
          <w:rFonts w:ascii="微软雅黑" w:hAnsi="微软雅黑" w:cs="微软雅黑" w:hint="eastAsia"/>
          <w:kern w:val="0"/>
          <w:szCs w:val="21"/>
        </w:rPr>
        <w:t>码</w:t>
      </w:r>
    </w:p>
    <w:p w14:paraId="17EE8EB4" w14:textId="77777777" w:rsidR="005B3BCD" w:rsidRDefault="005B3BCD">
      <w:pPr>
        <w:spacing w:beforeLines="50" w:before="193" w:afterLines="50" w:after="193"/>
        <w:rPr>
          <w:rFonts w:ascii="微软雅黑" w:hAnsi="微软雅黑" w:cs="微软雅黑" w:hint="eastAsia"/>
        </w:rPr>
      </w:pPr>
    </w:p>
    <w:p w14:paraId="35E557A9" w14:textId="77777777" w:rsidR="005B3BCD" w:rsidRDefault="005B3BCD">
      <w:pPr>
        <w:spacing w:beforeLines="50" w:before="193" w:afterLines="50" w:after="193"/>
        <w:rPr>
          <w:rFonts w:ascii="微软雅黑" w:hAnsi="微软雅黑" w:cs="微软雅黑" w:hint="eastAsia"/>
        </w:rPr>
      </w:pPr>
    </w:p>
    <w:sectPr w:rsidR="005B3BCD">
      <w:headerReference w:type="default" r:id="rId9"/>
      <w:pgSz w:w="11906" w:h="16838"/>
      <w:pgMar w:top="720" w:right="720" w:bottom="720" w:left="720" w:header="851" w:footer="992" w:gutter="0"/>
      <w:cols w:space="0"/>
      <w:docGrid w:type="lines" w:linePitch="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8DA82" w14:textId="77777777" w:rsidR="00FB0F40" w:rsidRDefault="00FB0F40">
      <w:r>
        <w:separator/>
      </w:r>
    </w:p>
  </w:endnote>
  <w:endnote w:type="continuationSeparator" w:id="0">
    <w:p w14:paraId="21F67466" w14:textId="77777777" w:rsidR="00FB0F40" w:rsidRDefault="00FB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0AF82" w14:textId="77777777" w:rsidR="00FB0F40" w:rsidRDefault="00FB0F40">
      <w:r>
        <w:separator/>
      </w:r>
    </w:p>
  </w:footnote>
  <w:footnote w:type="continuationSeparator" w:id="0">
    <w:p w14:paraId="564486C0" w14:textId="77777777" w:rsidR="00FB0F40" w:rsidRDefault="00FB0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182B" w14:textId="77777777" w:rsidR="005B3BCD" w:rsidRDefault="005B3B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CE4F1B"/>
    <w:multiLevelType w:val="singleLevel"/>
    <w:tmpl w:val="AFCE4F1B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BB57F3BC"/>
    <w:multiLevelType w:val="singleLevel"/>
    <w:tmpl w:val="BB57F3BC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CFEFA602"/>
    <w:multiLevelType w:val="singleLevel"/>
    <w:tmpl w:val="CFEFA602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D7EE5A23"/>
    <w:multiLevelType w:val="singleLevel"/>
    <w:tmpl w:val="D7EE5A23"/>
    <w:lvl w:ilvl="0">
      <w:start w:val="1"/>
      <w:numFmt w:val="decimal"/>
      <w:suff w:val="space"/>
      <w:lvlText w:val="%1."/>
      <w:lvlJc w:val="left"/>
    </w:lvl>
  </w:abstractNum>
  <w:abstractNum w:abstractNumId="4" w15:restartNumberingAfterBreak="0">
    <w:nsid w:val="EEFEBCDC"/>
    <w:multiLevelType w:val="singleLevel"/>
    <w:tmpl w:val="EEFEBCDC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27875B48"/>
    <w:multiLevelType w:val="singleLevel"/>
    <w:tmpl w:val="27875B48"/>
    <w:lvl w:ilvl="0">
      <w:start w:val="1"/>
      <w:numFmt w:val="decimal"/>
      <w:suff w:val="space"/>
      <w:lvlText w:val="%1."/>
      <w:lvlJc w:val="left"/>
    </w:lvl>
  </w:abstractNum>
  <w:num w:numId="1" w16cid:durableId="1057977938">
    <w:abstractNumId w:val="4"/>
  </w:num>
  <w:num w:numId="2" w16cid:durableId="1619795529">
    <w:abstractNumId w:val="1"/>
  </w:num>
  <w:num w:numId="3" w16cid:durableId="1643121515">
    <w:abstractNumId w:val="0"/>
  </w:num>
  <w:num w:numId="4" w16cid:durableId="38743191">
    <w:abstractNumId w:val="5"/>
  </w:num>
  <w:num w:numId="5" w16cid:durableId="150145719">
    <w:abstractNumId w:val="3"/>
  </w:num>
  <w:num w:numId="6" w16cid:durableId="192803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420"/>
  <w:drawingGridHorizontalSpacing w:val="210"/>
  <w:drawingGridVerticalSpacing w:val="194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A24D9F"/>
    <w:rsid w:val="E5EE52A5"/>
    <w:rsid w:val="E7FE3684"/>
    <w:rsid w:val="ECFE2A30"/>
    <w:rsid w:val="EDE5824E"/>
    <w:rsid w:val="EFBA57D9"/>
    <w:rsid w:val="EFFF70E4"/>
    <w:rsid w:val="F7DE43A4"/>
    <w:rsid w:val="F7EEC240"/>
    <w:rsid w:val="FBF75102"/>
    <w:rsid w:val="FC76C3A6"/>
    <w:rsid w:val="FDDC5620"/>
    <w:rsid w:val="FDEA700A"/>
    <w:rsid w:val="FFBFCE42"/>
    <w:rsid w:val="FFD7F565"/>
    <w:rsid w:val="00002164"/>
    <w:rsid w:val="005B3BCD"/>
    <w:rsid w:val="006E2CCD"/>
    <w:rsid w:val="00FB0F40"/>
    <w:rsid w:val="023814FB"/>
    <w:rsid w:val="07011CC2"/>
    <w:rsid w:val="07644792"/>
    <w:rsid w:val="09284798"/>
    <w:rsid w:val="0F2B6FD9"/>
    <w:rsid w:val="0FD4367E"/>
    <w:rsid w:val="110A1D16"/>
    <w:rsid w:val="118872BE"/>
    <w:rsid w:val="183C240D"/>
    <w:rsid w:val="1AA24D9F"/>
    <w:rsid w:val="21E95100"/>
    <w:rsid w:val="28DA2E89"/>
    <w:rsid w:val="2A4254F9"/>
    <w:rsid w:val="2CDA5AA3"/>
    <w:rsid w:val="2D1F32F4"/>
    <w:rsid w:val="323B4D81"/>
    <w:rsid w:val="34B70380"/>
    <w:rsid w:val="35D55013"/>
    <w:rsid w:val="37DF253A"/>
    <w:rsid w:val="3AE174A3"/>
    <w:rsid w:val="3BD771D6"/>
    <w:rsid w:val="3BE27647"/>
    <w:rsid w:val="3DA7368C"/>
    <w:rsid w:val="3EC62D97"/>
    <w:rsid w:val="3EFC7507"/>
    <w:rsid w:val="3EFF4BA5"/>
    <w:rsid w:val="3FE7BA31"/>
    <w:rsid w:val="428B5084"/>
    <w:rsid w:val="43446334"/>
    <w:rsid w:val="44A84E71"/>
    <w:rsid w:val="477DCE1E"/>
    <w:rsid w:val="4BC06092"/>
    <w:rsid w:val="4F3A498A"/>
    <w:rsid w:val="573E1E21"/>
    <w:rsid w:val="57D39D88"/>
    <w:rsid w:val="5B487E91"/>
    <w:rsid w:val="5CF9550F"/>
    <w:rsid w:val="5E14347E"/>
    <w:rsid w:val="5EFEBDE8"/>
    <w:rsid w:val="62BC75E5"/>
    <w:rsid w:val="62C9DB8A"/>
    <w:rsid w:val="68CA2609"/>
    <w:rsid w:val="68CC1AED"/>
    <w:rsid w:val="69BB0F42"/>
    <w:rsid w:val="6A637494"/>
    <w:rsid w:val="6BCF62E6"/>
    <w:rsid w:val="6CD3A16D"/>
    <w:rsid w:val="6D535020"/>
    <w:rsid w:val="6E5F49A6"/>
    <w:rsid w:val="6E7E14FB"/>
    <w:rsid w:val="6FDD9D55"/>
    <w:rsid w:val="6FFF37D2"/>
    <w:rsid w:val="70DE2EF1"/>
    <w:rsid w:val="765BE07C"/>
    <w:rsid w:val="77767166"/>
    <w:rsid w:val="78DB1BB5"/>
    <w:rsid w:val="7AC60BBE"/>
    <w:rsid w:val="7AF945D3"/>
    <w:rsid w:val="7C5F4108"/>
    <w:rsid w:val="7DB5BD04"/>
    <w:rsid w:val="7EDD8881"/>
    <w:rsid w:val="7EFE828E"/>
    <w:rsid w:val="7F79C282"/>
    <w:rsid w:val="7F7B6CAE"/>
    <w:rsid w:val="7FBF6DD0"/>
    <w:rsid w:val="7FCD17FE"/>
    <w:rsid w:val="7FD7E9A0"/>
    <w:rsid w:val="7FE9FBB2"/>
    <w:rsid w:val="7FF791CA"/>
    <w:rsid w:val="8FFFA67E"/>
    <w:rsid w:val="A97F623E"/>
    <w:rsid w:val="AFBF8780"/>
    <w:rsid w:val="AFD7DA8E"/>
    <w:rsid w:val="BEEFCB4B"/>
    <w:rsid w:val="BFE6F841"/>
    <w:rsid w:val="CEBF3D0F"/>
    <w:rsid w:val="D5DE8897"/>
    <w:rsid w:val="DB7711CB"/>
    <w:rsid w:val="DDFBBCE9"/>
    <w:rsid w:val="DE0D9806"/>
    <w:rsid w:val="DF130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68304E94"/>
  <w15:docId w15:val="{26054D7B-122A-4E66-97E6-E661207B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微软雅黑" w:hAnsi="Arial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260" w:after="220"/>
      <w:outlineLvl w:val="0"/>
    </w:pPr>
    <w:rPr>
      <w:b/>
      <w:kern w:val="44"/>
      <w:sz w:val="36"/>
    </w:rPr>
  </w:style>
  <w:style w:type="paragraph" w:styleId="2">
    <w:name w:val="heading 2"/>
    <w:basedOn w:val="a"/>
    <w:next w:val="a"/>
    <w:unhideWhenUsed/>
    <w:qFormat/>
    <w:pPr>
      <w:keepNext/>
      <w:keepLines/>
      <w:spacing w:before="260" w:after="200"/>
      <w:outlineLvl w:val="1"/>
    </w:pPr>
    <w:rPr>
      <w:b/>
      <w:sz w:val="32"/>
    </w:rPr>
  </w:style>
  <w:style w:type="paragraph" w:styleId="3">
    <w:name w:val="heading 3"/>
    <w:basedOn w:val="a"/>
    <w:next w:val="a"/>
    <w:unhideWhenUsed/>
    <w:qFormat/>
    <w:pPr>
      <w:keepNext/>
      <w:keepLines/>
      <w:spacing w:before="260" w:after="180"/>
      <w:outlineLvl w:val="2"/>
    </w:pPr>
    <w:rPr>
      <w:b/>
      <w:sz w:val="30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40" w:after="160"/>
      <w:outlineLvl w:val="3"/>
    </w:pPr>
    <w:rPr>
      <w:b/>
      <w:sz w:val="28"/>
    </w:rPr>
  </w:style>
  <w:style w:type="paragraph" w:styleId="5">
    <w:name w:val="heading 5"/>
    <w:basedOn w:val="a"/>
    <w:next w:val="a"/>
    <w:unhideWhenUsed/>
    <w:qFormat/>
    <w:pPr>
      <w:keepNext/>
      <w:keepLines/>
      <w:spacing w:before="240" w:after="160"/>
      <w:outlineLvl w:val="4"/>
    </w:pPr>
    <w:rPr>
      <w:b/>
      <w:sz w:val="28"/>
    </w:rPr>
  </w:style>
  <w:style w:type="paragraph" w:styleId="6">
    <w:name w:val="heading 6"/>
    <w:basedOn w:val="a"/>
    <w:next w:val="a"/>
    <w:unhideWhenUsed/>
    <w:qFormat/>
    <w:pPr>
      <w:keepNext/>
      <w:keepLines/>
      <w:spacing w:before="240" w:after="120"/>
      <w:outlineLvl w:val="5"/>
    </w:pPr>
    <w:rPr>
      <w:b/>
      <w:sz w:val="24"/>
    </w:rPr>
  </w:style>
  <w:style w:type="paragraph" w:styleId="7">
    <w:name w:val="heading 7"/>
    <w:basedOn w:val="a"/>
    <w:next w:val="a"/>
    <w:unhideWhenUsed/>
    <w:qFormat/>
    <w:pPr>
      <w:keepNext/>
      <w:keepLines/>
      <w:spacing w:before="240" w:after="120"/>
      <w:outlineLvl w:val="6"/>
    </w:pPr>
    <w:rPr>
      <w:b/>
      <w:sz w:val="24"/>
    </w:rPr>
  </w:style>
  <w:style w:type="paragraph" w:styleId="8">
    <w:name w:val="heading 8"/>
    <w:basedOn w:val="a"/>
    <w:next w:val="a"/>
    <w:unhideWhenUsed/>
    <w:qFormat/>
    <w:pPr>
      <w:keepNext/>
      <w:keepLines/>
      <w:spacing w:before="180" w:after="64"/>
      <w:outlineLvl w:val="7"/>
    </w:pPr>
    <w:rPr>
      <w:sz w:val="24"/>
    </w:rPr>
  </w:style>
  <w:style w:type="paragraph" w:styleId="9">
    <w:name w:val="heading 9"/>
    <w:basedOn w:val="a"/>
    <w:next w:val="a"/>
    <w:unhideWhenUsed/>
    <w:qFormat/>
    <w:pPr>
      <w:keepNext/>
      <w:keepLines/>
      <w:spacing w:before="180" w:after="64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343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Data</dc:creator>
  <cp:lastModifiedBy>苏玉 王</cp:lastModifiedBy>
  <cp:revision>2</cp:revision>
  <dcterms:created xsi:type="dcterms:W3CDTF">2025-11-27T08:44:00Z</dcterms:created>
  <dcterms:modified xsi:type="dcterms:W3CDTF">2025-11-27T08:44:00Z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woTemplateTypoMode" linkTarget="0">
    <vt:lpwstr/>
  </property>
  <property fmtid="{D5CDD505-2E9C-101B-9397-08002B2CF9AE}" pid="4" name="woTemplate" linkTarget="0">
    <vt:i4>0</vt:i4>
  </property>
  <property fmtid="{D5CDD505-2E9C-101B-9397-08002B2CF9AE}" pid="5" name="ICV">
    <vt:lpwstr>D53CF8E41BAE44BF9A4A7391BA48ABC7_13</vt:lpwstr>
  </property>
  <property fmtid="{D5CDD505-2E9C-101B-9397-08002B2CF9AE}" pid="6" name="KSOTemplateDocerSaveRecord">
    <vt:lpwstr>eyJoZGlkIjoiNjMzMTc1OGM5YmYzMmZhZGFlMjY0ODk5YTQxNWQyNTgiLCJ1c2VySWQiOiIyMTU1NTY2NTAifQ==</vt:lpwstr>
  </property>
</Properties>
</file>